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54B1" w14:textId="77777777" w:rsidR="002F1680" w:rsidRPr="00373D98" w:rsidRDefault="00AF1CEF">
      <w:pPr>
        <w:pStyle w:val="Title"/>
        <w:rPr>
          <w:rFonts w:cstheme="majorHAnsi"/>
        </w:rPr>
      </w:pPr>
      <w:r w:rsidRPr="00373D98">
        <w:rPr>
          <w:rFonts w:cstheme="majorHAnsi"/>
        </w:rPr>
        <w:t>Guideline for Valuation of Property, Plant and Equipment and Investment Property for Financial Reporting Purposes</w:t>
      </w:r>
    </w:p>
    <w:p w14:paraId="4440E989" w14:textId="2ED801C5" w:rsidR="002F1680" w:rsidRPr="00373D98" w:rsidRDefault="00AF1CEF">
      <w:pPr>
        <w:jc w:val="center"/>
        <w:rPr>
          <w:rFonts w:asciiTheme="majorHAnsi" w:hAnsiTheme="majorHAnsi" w:cstheme="majorHAnsi"/>
        </w:rPr>
      </w:pPr>
      <w:r w:rsidRPr="00373D98">
        <w:rPr>
          <w:rFonts w:asciiTheme="majorHAnsi" w:hAnsiTheme="majorHAnsi" w:cstheme="majorHAnsi"/>
        </w:rPr>
        <w:t>(Based on IFRS 13, IVS 300</w:t>
      </w:r>
      <w:r w:rsidR="00F11FBE">
        <w:rPr>
          <w:rFonts w:asciiTheme="majorHAnsi" w:hAnsiTheme="majorHAnsi" w:cstheme="majorHAnsi"/>
        </w:rPr>
        <w:t xml:space="preserve"> and</w:t>
      </w:r>
      <w:r w:rsidRPr="00373D98">
        <w:rPr>
          <w:rFonts w:asciiTheme="majorHAnsi" w:hAnsiTheme="majorHAnsi" w:cstheme="majorHAnsi"/>
        </w:rPr>
        <w:t xml:space="preserve"> IVS 400)</w:t>
      </w:r>
    </w:p>
    <w:p w14:paraId="094C0171" w14:textId="3A85838C" w:rsidR="002F1680" w:rsidRPr="00373D98" w:rsidRDefault="00AF1CEF">
      <w:pPr>
        <w:rPr>
          <w:rFonts w:asciiTheme="majorHAnsi" w:hAnsiTheme="majorHAnsi" w:cstheme="majorHAnsi"/>
        </w:rPr>
      </w:pPr>
      <w:r w:rsidRPr="00373D98">
        <w:rPr>
          <w:rFonts w:asciiTheme="majorHAnsi" w:hAnsiTheme="majorHAnsi" w:cstheme="majorHAnsi"/>
        </w:rPr>
        <w:br/>
        <w:t>Issuer: CA Maldives</w:t>
      </w:r>
      <w:r w:rsidRPr="00373D98">
        <w:rPr>
          <w:rFonts w:asciiTheme="majorHAnsi" w:hAnsiTheme="majorHAnsi" w:cstheme="majorHAnsi"/>
        </w:rPr>
        <w:br/>
      </w:r>
      <w:r w:rsidRPr="00DB4656">
        <w:rPr>
          <w:rFonts w:asciiTheme="majorHAnsi" w:hAnsiTheme="majorHAnsi" w:cstheme="majorHAnsi"/>
        </w:rPr>
        <w:t xml:space="preserve">Date: </w:t>
      </w:r>
      <w:r w:rsidR="00DB4656" w:rsidRPr="00F11FBE">
        <w:rPr>
          <w:rFonts w:asciiTheme="majorHAnsi" w:hAnsiTheme="majorHAnsi" w:cstheme="majorHAnsi"/>
          <w:highlight w:val="yellow"/>
        </w:rPr>
        <w:t>November</w:t>
      </w:r>
      <w:r w:rsidRPr="00F11FBE">
        <w:rPr>
          <w:rFonts w:asciiTheme="majorHAnsi" w:hAnsiTheme="majorHAnsi" w:cstheme="majorHAnsi"/>
          <w:highlight w:val="yellow"/>
        </w:rPr>
        <w:t xml:space="preserve"> </w:t>
      </w:r>
      <w:r w:rsidR="00DB4656" w:rsidRPr="00F11FBE">
        <w:rPr>
          <w:rFonts w:asciiTheme="majorHAnsi" w:hAnsiTheme="majorHAnsi" w:cstheme="majorHAnsi"/>
          <w:highlight w:val="yellow"/>
        </w:rPr>
        <w:t>08</w:t>
      </w:r>
      <w:r w:rsidRPr="00F11FBE">
        <w:rPr>
          <w:rFonts w:asciiTheme="majorHAnsi" w:hAnsiTheme="majorHAnsi" w:cstheme="majorHAnsi"/>
          <w:highlight w:val="yellow"/>
        </w:rPr>
        <w:t>, 2025</w:t>
      </w:r>
    </w:p>
    <w:p w14:paraId="43E00944" w14:textId="77777777" w:rsidR="002F1680" w:rsidRPr="00373D98" w:rsidRDefault="00AF1CEF">
      <w:pPr>
        <w:rPr>
          <w:rFonts w:asciiTheme="majorHAnsi" w:hAnsiTheme="majorHAnsi" w:cstheme="majorHAnsi"/>
        </w:rPr>
      </w:pPr>
      <w:r w:rsidRPr="00373D98">
        <w:rPr>
          <w:rFonts w:asciiTheme="majorHAnsi" w:hAnsiTheme="majorHAnsi" w:cstheme="majorHAnsi"/>
        </w:rPr>
        <w:br w:type="page"/>
      </w:r>
    </w:p>
    <w:p w14:paraId="269925BA" w14:textId="5C415361" w:rsidR="00682610" w:rsidRPr="00373D98" w:rsidRDefault="00682610" w:rsidP="00682610">
      <w:pPr>
        <w:pStyle w:val="Heading1"/>
        <w:rPr>
          <w:rFonts w:cstheme="majorHAnsi"/>
        </w:rPr>
      </w:pPr>
      <w:bookmarkStart w:id="0" w:name="_Toc213491705"/>
      <w:r w:rsidRPr="00373D98">
        <w:rPr>
          <w:rFonts w:cstheme="majorHAnsi"/>
        </w:rPr>
        <w:lastRenderedPageBreak/>
        <w:t>Disclaimer</w:t>
      </w:r>
      <w:bookmarkEnd w:id="0"/>
    </w:p>
    <w:p w14:paraId="4EDA79C5" w14:textId="3C3A1FCE" w:rsidR="002C0DC9" w:rsidRPr="002C0DC9" w:rsidRDefault="002C0DC9" w:rsidP="002C0DC9">
      <w:pPr>
        <w:jc w:val="both"/>
        <w:rPr>
          <w:rFonts w:asciiTheme="majorHAnsi" w:hAnsiTheme="majorHAnsi" w:cstheme="majorHAnsi"/>
        </w:rPr>
      </w:pPr>
      <w:r w:rsidRPr="002C0DC9">
        <w:rPr>
          <w:rFonts w:asciiTheme="majorHAnsi" w:hAnsiTheme="majorHAnsi" w:cstheme="majorHAnsi"/>
        </w:rPr>
        <w:t xml:space="preserve">Where there is conflict between a recommendation contained in </w:t>
      </w:r>
      <w:r>
        <w:rPr>
          <w:rFonts w:asciiTheme="majorHAnsi" w:hAnsiTheme="majorHAnsi" w:cstheme="majorHAnsi"/>
        </w:rPr>
        <w:t>this</w:t>
      </w:r>
      <w:r w:rsidRPr="002C0DC9">
        <w:rPr>
          <w:rFonts w:asciiTheme="majorHAnsi" w:hAnsiTheme="majorHAnsi" w:cstheme="majorHAnsi"/>
        </w:rPr>
        <w:t xml:space="preserve"> </w:t>
      </w:r>
      <w:r w:rsidRPr="00A11090">
        <w:rPr>
          <w:rFonts w:asciiTheme="majorHAnsi" w:hAnsiTheme="majorHAnsi" w:cstheme="majorHAnsi"/>
          <w:i/>
          <w:iCs/>
        </w:rPr>
        <w:t xml:space="preserve">Guideline </w:t>
      </w:r>
      <w:proofErr w:type="gramStart"/>
      <w:r w:rsidRPr="00A11090">
        <w:rPr>
          <w:rFonts w:asciiTheme="majorHAnsi" w:hAnsiTheme="majorHAnsi" w:cstheme="majorHAnsi"/>
          <w:i/>
          <w:iCs/>
        </w:rPr>
        <w:t>For</w:t>
      </w:r>
      <w:proofErr w:type="gramEnd"/>
      <w:r w:rsidRPr="00A11090">
        <w:rPr>
          <w:rFonts w:asciiTheme="majorHAnsi" w:hAnsiTheme="majorHAnsi" w:cstheme="majorHAnsi"/>
          <w:i/>
          <w:iCs/>
        </w:rPr>
        <w:t xml:space="preserve"> Valuation of Property, Plant and Equipment and Investment Property</w:t>
      </w:r>
      <w:r>
        <w:rPr>
          <w:rFonts w:asciiTheme="majorHAnsi" w:hAnsiTheme="majorHAnsi" w:cstheme="majorHAnsi"/>
        </w:rPr>
        <w:t xml:space="preserve"> </w:t>
      </w:r>
      <w:r w:rsidRPr="002C0DC9">
        <w:rPr>
          <w:rFonts w:asciiTheme="majorHAnsi" w:hAnsiTheme="majorHAnsi" w:cstheme="majorHAnsi"/>
        </w:rPr>
        <w:t>and the requirements of</w:t>
      </w:r>
      <w:r>
        <w:rPr>
          <w:rFonts w:asciiTheme="majorHAnsi" w:hAnsiTheme="majorHAnsi" w:cstheme="majorHAnsi"/>
        </w:rPr>
        <w:t xml:space="preserve"> </w:t>
      </w:r>
      <w:r w:rsidRPr="002C0DC9">
        <w:rPr>
          <w:rFonts w:asciiTheme="majorHAnsi" w:hAnsiTheme="majorHAnsi" w:cstheme="majorHAnsi"/>
        </w:rPr>
        <w:t>any applicable laws or regulations or accounting standards, the latter requirements should take</w:t>
      </w:r>
      <w:r>
        <w:rPr>
          <w:rFonts w:asciiTheme="majorHAnsi" w:hAnsiTheme="majorHAnsi" w:cstheme="majorHAnsi"/>
        </w:rPr>
        <w:t xml:space="preserve"> </w:t>
      </w:r>
      <w:r w:rsidRPr="002C0DC9">
        <w:rPr>
          <w:rFonts w:asciiTheme="majorHAnsi" w:hAnsiTheme="majorHAnsi" w:cstheme="majorHAnsi"/>
        </w:rPr>
        <w:t>precedence.</w:t>
      </w:r>
    </w:p>
    <w:p w14:paraId="434E90BF" w14:textId="3C29E1D2" w:rsidR="00373D98" w:rsidRDefault="002C0DC9" w:rsidP="002C0DC9">
      <w:pPr>
        <w:jc w:val="both"/>
        <w:rPr>
          <w:rFonts w:asciiTheme="majorHAnsi" w:hAnsiTheme="majorHAnsi" w:cstheme="majorHAnsi"/>
        </w:rPr>
      </w:pPr>
      <w:r w:rsidRPr="002C0DC9">
        <w:rPr>
          <w:rFonts w:asciiTheme="majorHAnsi" w:hAnsiTheme="majorHAnsi" w:cstheme="majorHAnsi"/>
        </w:rPr>
        <w:t xml:space="preserve">No responsibility for loss or damage caused to any person acting or refraining from action </w:t>
      </w:r>
      <w:proofErr w:type="gramStart"/>
      <w:r w:rsidRPr="002C0DC9">
        <w:rPr>
          <w:rFonts w:asciiTheme="majorHAnsi" w:hAnsiTheme="majorHAnsi" w:cstheme="majorHAnsi"/>
        </w:rPr>
        <w:t>as a result of</w:t>
      </w:r>
      <w:proofErr w:type="gramEnd"/>
      <w:r>
        <w:rPr>
          <w:rFonts w:asciiTheme="majorHAnsi" w:hAnsiTheme="majorHAnsi" w:cstheme="majorHAnsi"/>
        </w:rPr>
        <w:t xml:space="preserve"> </w:t>
      </w:r>
      <w:r w:rsidRPr="002C0DC9">
        <w:rPr>
          <w:rFonts w:asciiTheme="majorHAnsi" w:hAnsiTheme="majorHAnsi" w:cstheme="majorHAnsi"/>
        </w:rPr>
        <w:t>the content included in this publication can be accepted by the authors or Institute of Chartered</w:t>
      </w:r>
      <w:r>
        <w:rPr>
          <w:rFonts w:asciiTheme="majorHAnsi" w:hAnsiTheme="majorHAnsi" w:cstheme="majorHAnsi"/>
        </w:rPr>
        <w:t xml:space="preserve"> </w:t>
      </w:r>
      <w:r w:rsidRPr="002C0DC9">
        <w:rPr>
          <w:rFonts w:asciiTheme="majorHAnsi" w:hAnsiTheme="majorHAnsi" w:cstheme="majorHAnsi"/>
        </w:rPr>
        <w:t>Accountants of the Maldives (CA Maldives).</w:t>
      </w:r>
    </w:p>
    <w:p w14:paraId="7A8E9AEA" w14:textId="77777777" w:rsidR="00373D98" w:rsidRDefault="00373D98">
      <w:pPr>
        <w:rPr>
          <w:rFonts w:asciiTheme="majorHAnsi" w:hAnsiTheme="majorHAnsi" w:cstheme="majorHAnsi"/>
        </w:rPr>
      </w:pPr>
      <w:r>
        <w:rPr>
          <w:rFonts w:asciiTheme="majorHAnsi" w:hAnsiTheme="majorHAnsi" w:cstheme="majorHAnsi"/>
        </w:rPr>
        <w:br w:type="page"/>
      </w:r>
    </w:p>
    <w:p w14:paraId="6263D97B" w14:textId="27EC8349" w:rsidR="00682610" w:rsidRDefault="00373D98" w:rsidP="00373D98">
      <w:pPr>
        <w:pStyle w:val="Heading1"/>
        <w:spacing w:after="240"/>
      </w:pPr>
      <w:bookmarkStart w:id="1" w:name="_Toc213491706"/>
      <w:r>
        <w:lastRenderedPageBreak/>
        <w:t>Content</w:t>
      </w:r>
      <w:bookmarkEnd w:id="1"/>
    </w:p>
    <w:p w14:paraId="206105C3" w14:textId="00BB8899" w:rsidR="00047DE4" w:rsidRDefault="00373D98">
      <w:pPr>
        <w:pStyle w:val="TOC1"/>
        <w:tabs>
          <w:tab w:val="right" w:leader="dot" w:pos="8630"/>
        </w:tabs>
        <w:rPr>
          <w:noProof/>
          <w:kern w:val="2"/>
          <w:sz w:val="24"/>
          <w:szCs w:val="24"/>
          <w14:ligatures w14:val="standardContextual"/>
        </w:rPr>
      </w:pPr>
      <w:r>
        <w:rPr>
          <w:rFonts w:asciiTheme="majorHAnsi" w:hAnsiTheme="majorHAnsi" w:cstheme="majorHAnsi"/>
        </w:rPr>
        <w:fldChar w:fldCharType="begin"/>
      </w:r>
      <w:r>
        <w:rPr>
          <w:rFonts w:asciiTheme="majorHAnsi" w:hAnsiTheme="majorHAnsi" w:cstheme="majorHAnsi"/>
        </w:rPr>
        <w:instrText xml:space="preserve"> TOC \o "1-4" \h \z \u </w:instrText>
      </w:r>
      <w:r>
        <w:rPr>
          <w:rFonts w:asciiTheme="majorHAnsi" w:hAnsiTheme="majorHAnsi" w:cstheme="majorHAnsi"/>
        </w:rPr>
        <w:fldChar w:fldCharType="separate"/>
      </w:r>
      <w:hyperlink w:anchor="_Toc213491705" w:history="1">
        <w:r w:rsidR="00047DE4" w:rsidRPr="00377DC8">
          <w:rPr>
            <w:rStyle w:val="Hyperlink"/>
            <w:rFonts w:cstheme="majorHAnsi"/>
            <w:noProof/>
          </w:rPr>
          <w:t>Disclaimer</w:t>
        </w:r>
        <w:r w:rsidR="00047DE4">
          <w:rPr>
            <w:noProof/>
            <w:webHidden/>
          </w:rPr>
          <w:tab/>
        </w:r>
        <w:r w:rsidR="00047DE4">
          <w:rPr>
            <w:noProof/>
            <w:webHidden/>
          </w:rPr>
          <w:fldChar w:fldCharType="begin"/>
        </w:r>
        <w:r w:rsidR="00047DE4">
          <w:rPr>
            <w:noProof/>
            <w:webHidden/>
          </w:rPr>
          <w:instrText xml:space="preserve"> PAGEREF _Toc213491705 \h </w:instrText>
        </w:r>
        <w:r w:rsidR="00047DE4">
          <w:rPr>
            <w:noProof/>
            <w:webHidden/>
          </w:rPr>
        </w:r>
        <w:r w:rsidR="00047DE4">
          <w:rPr>
            <w:noProof/>
            <w:webHidden/>
          </w:rPr>
          <w:fldChar w:fldCharType="separate"/>
        </w:r>
        <w:r w:rsidR="00047DE4">
          <w:rPr>
            <w:noProof/>
            <w:webHidden/>
          </w:rPr>
          <w:t>2</w:t>
        </w:r>
        <w:r w:rsidR="00047DE4">
          <w:rPr>
            <w:noProof/>
            <w:webHidden/>
          </w:rPr>
          <w:fldChar w:fldCharType="end"/>
        </w:r>
      </w:hyperlink>
    </w:p>
    <w:p w14:paraId="4526DD4F" w14:textId="41D6BBBD" w:rsidR="00047DE4" w:rsidRDefault="00047DE4">
      <w:pPr>
        <w:pStyle w:val="TOC1"/>
        <w:tabs>
          <w:tab w:val="right" w:leader="dot" w:pos="8630"/>
        </w:tabs>
        <w:rPr>
          <w:noProof/>
          <w:kern w:val="2"/>
          <w:sz w:val="24"/>
          <w:szCs w:val="24"/>
          <w14:ligatures w14:val="standardContextual"/>
        </w:rPr>
      </w:pPr>
      <w:hyperlink w:anchor="_Toc213491706" w:history="1">
        <w:r w:rsidRPr="00377DC8">
          <w:rPr>
            <w:rStyle w:val="Hyperlink"/>
            <w:noProof/>
          </w:rPr>
          <w:t>Content</w:t>
        </w:r>
        <w:r>
          <w:rPr>
            <w:noProof/>
            <w:webHidden/>
          </w:rPr>
          <w:tab/>
        </w:r>
        <w:r>
          <w:rPr>
            <w:noProof/>
            <w:webHidden/>
          </w:rPr>
          <w:fldChar w:fldCharType="begin"/>
        </w:r>
        <w:r>
          <w:rPr>
            <w:noProof/>
            <w:webHidden/>
          </w:rPr>
          <w:instrText xml:space="preserve"> PAGEREF _Toc213491706 \h </w:instrText>
        </w:r>
        <w:r>
          <w:rPr>
            <w:noProof/>
            <w:webHidden/>
          </w:rPr>
        </w:r>
        <w:r>
          <w:rPr>
            <w:noProof/>
            <w:webHidden/>
          </w:rPr>
          <w:fldChar w:fldCharType="separate"/>
        </w:r>
        <w:r>
          <w:rPr>
            <w:noProof/>
            <w:webHidden/>
          </w:rPr>
          <w:t>3</w:t>
        </w:r>
        <w:r>
          <w:rPr>
            <w:noProof/>
            <w:webHidden/>
          </w:rPr>
          <w:fldChar w:fldCharType="end"/>
        </w:r>
      </w:hyperlink>
    </w:p>
    <w:p w14:paraId="7F0506DF" w14:textId="5669D678" w:rsidR="00047DE4" w:rsidRDefault="00047DE4">
      <w:pPr>
        <w:pStyle w:val="TOC1"/>
        <w:tabs>
          <w:tab w:val="left" w:pos="440"/>
          <w:tab w:val="right" w:leader="dot" w:pos="8630"/>
        </w:tabs>
        <w:rPr>
          <w:noProof/>
          <w:kern w:val="2"/>
          <w:sz w:val="24"/>
          <w:szCs w:val="24"/>
          <w14:ligatures w14:val="standardContextual"/>
        </w:rPr>
      </w:pPr>
      <w:hyperlink w:anchor="_Toc213491707" w:history="1">
        <w:r w:rsidRPr="00A11090">
          <w:rPr>
            <w:rStyle w:val="Hyperlink"/>
            <w:noProof/>
          </w:rPr>
          <w:t>1.</w:t>
        </w:r>
        <w:r w:rsidRPr="00A11090">
          <w:rPr>
            <w:noProof/>
            <w:kern w:val="2"/>
            <w:sz w:val="24"/>
            <w:szCs w:val="24"/>
            <w14:ligatures w14:val="standardContextual"/>
          </w:rPr>
          <w:tab/>
        </w:r>
        <w:r w:rsidRPr="00A11090">
          <w:rPr>
            <w:rStyle w:val="Hyperlink"/>
            <w:noProof/>
          </w:rPr>
          <w:t xml:space="preserve">Preamble </w:t>
        </w:r>
        <w:r w:rsidRPr="00A11090">
          <w:rPr>
            <w:noProof/>
            <w:webHidden/>
          </w:rPr>
          <w:tab/>
        </w:r>
        <w:r w:rsidRPr="00A11090">
          <w:rPr>
            <w:noProof/>
            <w:webHidden/>
          </w:rPr>
          <w:fldChar w:fldCharType="begin"/>
        </w:r>
        <w:r w:rsidRPr="00A11090">
          <w:rPr>
            <w:noProof/>
            <w:webHidden/>
          </w:rPr>
          <w:instrText xml:space="preserve"> PAGEREF _Toc213491707 \h </w:instrText>
        </w:r>
        <w:r w:rsidRPr="00A11090">
          <w:rPr>
            <w:noProof/>
            <w:webHidden/>
          </w:rPr>
        </w:r>
        <w:r w:rsidRPr="00A11090">
          <w:rPr>
            <w:noProof/>
            <w:webHidden/>
          </w:rPr>
          <w:fldChar w:fldCharType="separate"/>
        </w:r>
        <w:r w:rsidRPr="00A11090">
          <w:rPr>
            <w:noProof/>
            <w:webHidden/>
          </w:rPr>
          <w:t>4</w:t>
        </w:r>
        <w:r w:rsidRPr="00A11090">
          <w:rPr>
            <w:noProof/>
            <w:webHidden/>
          </w:rPr>
          <w:fldChar w:fldCharType="end"/>
        </w:r>
      </w:hyperlink>
    </w:p>
    <w:p w14:paraId="7EE59DC8" w14:textId="31BA9BD4" w:rsidR="00047DE4" w:rsidRDefault="00047DE4">
      <w:pPr>
        <w:pStyle w:val="TOC1"/>
        <w:tabs>
          <w:tab w:val="left" w:pos="440"/>
          <w:tab w:val="right" w:leader="dot" w:pos="8630"/>
        </w:tabs>
        <w:rPr>
          <w:noProof/>
          <w:kern w:val="2"/>
          <w:sz w:val="24"/>
          <w:szCs w:val="24"/>
          <w14:ligatures w14:val="standardContextual"/>
        </w:rPr>
      </w:pPr>
      <w:hyperlink w:anchor="_Toc213491708" w:history="1">
        <w:r w:rsidRPr="00377DC8">
          <w:rPr>
            <w:rStyle w:val="Hyperlink"/>
            <w:rFonts w:cstheme="majorHAnsi"/>
            <w:noProof/>
          </w:rPr>
          <w:t>2.</w:t>
        </w:r>
        <w:r>
          <w:rPr>
            <w:noProof/>
            <w:kern w:val="2"/>
            <w:sz w:val="24"/>
            <w:szCs w:val="24"/>
            <w14:ligatures w14:val="standardContextual"/>
          </w:rPr>
          <w:tab/>
        </w:r>
        <w:r w:rsidRPr="00377DC8">
          <w:rPr>
            <w:rStyle w:val="Hyperlink"/>
            <w:rFonts w:cstheme="majorHAnsi"/>
            <w:noProof/>
          </w:rPr>
          <w:t>Objective and Scope</w:t>
        </w:r>
        <w:r>
          <w:rPr>
            <w:noProof/>
            <w:webHidden/>
          </w:rPr>
          <w:tab/>
        </w:r>
        <w:r>
          <w:rPr>
            <w:noProof/>
            <w:webHidden/>
          </w:rPr>
          <w:fldChar w:fldCharType="begin"/>
        </w:r>
        <w:r>
          <w:rPr>
            <w:noProof/>
            <w:webHidden/>
          </w:rPr>
          <w:instrText xml:space="preserve"> PAGEREF _Toc213491708 \h </w:instrText>
        </w:r>
        <w:r>
          <w:rPr>
            <w:noProof/>
            <w:webHidden/>
          </w:rPr>
        </w:r>
        <w:r>
          <w:rPr>
            <w:noProof/>
            <w:webHidden/>
          </w:rPr>
          <w:fldChar w:fldCharType="separate"/>
        </w:r>
        <w:r>
          <w:rPr>
            <w:noProof/>
            <w:webHidden/>
          </w:rPr>
          <w:t>4</w:t>
        </w:r>
        <w:r>
          <w:rPr>
            <w:noProof/>
            <w:webHidden/>
          </w:rPr>
          <w:fldChar w:fldCharType="end"/>
        </w:r>
      </w:hyperlink>
    </w:p>
    <w:p w14:paraId="49E2FCC3" w14:textId="0F5C55A3" w:rsidR="00047DE4" w:rsidRDefault="00047DE4">
      <w:pPr>
        <w:pStyle w:val="TOC1"/>
        <w:tabs>
          <w:tab w:val="left" w:pos="440"/>
          <w:tab w:val="right" w:leader="dot" w:pos="8630"/>
        </w:tabs>
        <w:rPr>
          <w:noProof/>
          <w:kern w:val="2"/>
          <w:sz w:val="24"/>
          <w:szCs w:val="24"/>
          <w14:ligatures w14:val="standardContextual"/>
        </w:rPr>
      </w:pPr>
      <w:hyperlink w:anchor="_Toc213491709" w:history="1">
        <w:r w:rsidRPr="00377DC8">
          <w:rPr>
            <w:rStyle w:val="Hyperlink"/>
            <w:rFonts w:cstheme="majorHAnsi"/>
            <w:noProof/>
          </w:rPr>
          <w:t>3.</w:t>
        </w:r>
        <w:r>
          <w:rPr>
            <w:noProof/>
            <w:kern w:val="2"/>
            <w:sz w:val="24"/>
            <w:szCs w:val="24"/>
            <w14:ligatures w14:val="standardContextual"/>
          </w:rPr>
          <w:tab/>
        </w:r>
        <w:r w:rsidRPr="00377DC8">
          <w:rPr>
            <w:rStyle w:val="Hyperlink"/>
            <w:rFonts w:cstheme="majorHAnsi"/>
            <w:noProof/>
          </w:rPr>
          <w:t>Governing Standards and Hierarchy</w:t>
        </w:r>
        <w:r>
          <w:rPr>
            <w:noProof/>
            <w:webHidden/>
          </w:rPr>
          <w:tab/>
        </w:r>
        <w:r>
          <w:rPr>
            <w:noProof/>
            <w:webHidden/>
          </w:rPr>
          <w:fldChar w:fldCharType="begin"/>
        </w:r>
        <w:r>
          <w:rPr>
            <w:noProof/>
            <w:webHidden/>
          </w:rPr>
          <w:instrText xml:space="preserve"> PAGEREF _Toc213491709 \h </w:instrText>
        </w:r>
        <w:r>
          <w:rPr>
            <w:noProof/>
            <w:webHidden/>
          </w:rPr>
        </w:r>
        <w:r>
          <w:rPr>
            <w:noProof/>
            <w:webHidden/>
          </w:rPr>
          <w:fldChar w:fldCharType="separate"/>
        </w:r>
        <w:r>
          <w:rPr>
            <w:noProof/>
            <w:webHidden/>
          </w:rPr>
          <w:t>4</w:t>
        </w:r>
        <w:r>
          <w:rPr>
            <w:noProof/>
            <w:webHidden/>
          </w:rPr>
          <w:fldChar w:fldCharType="end"/>
        </w:r>
      </w:hyperlink>
    </w:p>
    <w:p w14:paraId="2407AF77" w14:textId="2291F338" w:rsidR="00047DE4" w:rsidRDefault="00047DE4">
      <w:pPr>
        <w:pStyle w:val="TOC1"/>
        <w:tabs>
          <w:tab w:val="left" w:pos="440"/>
          <w:tab w:val="right" w:leader="dot" w:pos="8630"/>
        </w:tabs>
        <w:rPr>
          <w:noProof/>
          <w:kern w:val="2"/>
          <w:sz w:val="24"/>
          <w:szCs w:val="24"/>
          <w14:ligatures w14:val="standardContextual"/>
        </w:rPr>
      </w:pPr>
      <w:hyperlink w:anchor="_Toc213491710" w:history="1">
        <w:r w:rsidRPr="00377DC8">
          <w:rPr>
            <w:rStyle w:val="Hyperlink"/>
            <w:rFonts w:cstheme="majorHAnsi"/>
            <w:noProof/>
          </w:rPr>
          <w:t>4.</w:t>
        </w:r>
        <w:r>
          <w:rPr>
            <w:noProof/>
            <w:kern w:val="2"/>
            <w:sz w:val="24"/>
            <w:szCs w:val="24"/>
            <w14:ligatures w14:val="standardContextual"/>
          </w:rPr>
          <w:tab/>
        </w:r>
        <w:r w:rsidRPr="00377DC8">
          <w:rPr>
            <w:rStyle w:val="Hyperlink"/>
            <w:rFonts w:cstheme="majorHAnsi"/>
            <w:noProof/>
          </w:rPr>
          <w:t>Fair Value</w:t>
        </w:r>
        <w:r>
          <w:rPr>
            <w:noProof/>
            <w:webHidden/>
          </w:rPr>
          <w:tab/>
        </w:r>
        <w:r>
          <w:rPr>
            <w:noProof/>
            <w:webHidden/>
          </w:rPr>
          <w:fldChar w:fldCharType="begin"/>
        </w:r>
        <w:r>
          <w:rPr>
            <w:noProof/>
            <w:webHidden/>
          </w:rPr>
          <w:instrText xml:space="preserve"> PAGEREF _Toc213491710 \h </w:instrText>
        </w:r>
        <w:r>
          <w:rPr>
            <w:noProof/>
            <w:webHidden/>
          </w:rPr>
        </w:r>
        <w:r>
          <w:rPr>
            <w:noProof/>
            <w:webHidden/>
          </w:rPr>
          <w:fldChar w:fldCharType="separate"/>
        </w:r>
        <w:r>
          <w:rPr>
            <w:noProof/>
            <w:webHidden/>
          </w:rPr>
          <w:t>5</w:t>
        </w:r>
        <w:r>
          <w:rPr>
            <w:noProof/>
            <w:webHidden/>
          </w:rPr>
          <w:fldChar w:fldCharType="end"/>
        </w:r>
      </w:hyperlink>
    </w:p>
    <w:p w14:paraId="55E32DEA" w14:textId="4AB650FB" w:rsidR="00047DE4" w:rsidRDefault="00047DE4">
      <w:pPr>
        <w:pStyle w:val="TOC2"/>
        <w:tabs>
          <w:tab w:val="left" w:pos="960"/>
          <w:tab w:val="right" w:leader="dot" w:pos="8630"/>
        </w:tabs>
        <w:rPr>
          <w:noProof/>
          <w:kern w:val="2"/>
          <w:sz w:val="24"/>
          <w:szCs w:val="24"/>
          <w14:ligatures w14:val="standardContextual"/>
        </w:rPr>
      </w:pPr>
      <w:hyperlink w:anchor="_Toc213491711" w:history="1">
        <w:r w:rsidRPr="00377DC8">
          <w:rPr>
            <w:rStyle w:val="Hyperlink"/>
            <w:rFonts w:cstheme="majorHAnsi"/>
            <w:noProof/>
          </w:rPr>
          <w:t>4.1</w:t>
        </w:r>
        <w:r>
          <w:rPr>
            <w:noProof/>
            <w:kern w:val="2"/>
            <w:sz w:val="24"/>
            <w:szCs w:val="24"/>
            <w14:ligatures w14:val="standardContextual"/>
          </w:rPr>
          <w:tab/>
        </w:r>
        <w:r w:rsidRPr="00377DC8">
          <w:rPr>
            <w:rStyle w:val="Hyperlink"/>
            <w:rFonts w:cstheme="majorHAnsi"/>
            <w:noProof/>
          </w:rPr>
          <w:t>The fair value measurement framework in IFRS 13</w:t>
        </w:r>
        <w:r>
          <w:rPr>
            <w:noProof/>
            <w:webHidden/>
          </w:rPr>
          <w:tab/>
        </w:r>
        <w:r>
          <w:rPr>
            <w:noProof/>
            <w:webHidden/>
          </w:rPr>
          <w:fldChar w:fldCharType="begin"/>
        </w:r>
        <w:r>
          <w:rPr>
            <w:noProof/>
            <w:webHidden/>
          </w:rPr>
          <w:instrText xml:space="preserve"> PAGEREF _Toc213491711 \h </w:instrText>
        </w:r>
        <w:r>
          <w:rPr>
            <w:noProof/>
            <w:webHidden/>
          </w:rPr>
        </w:r>
        <w:r>
          <w:rPr>
            <w:noProof/>
            <w:webHidden/>
          </w:rPr>
          <w:fldChar w:fldCharType="separate"/>
        </w:r>
        <w:r>
          <w:rPr>
            <w:noProof/>
            <w:webHidden/>
          </w:rPr>
          <w:t>5</w:t>
        </w:r>
        <w:r>
          <w:rPr>
            <w:noProof/>
            <w:webHidden/>
          </w:rPr>
          <w:fldChar w:fldCharType="end"/>
        </w:r>
      </w:hyperlink>
    </w:p>
    <w:p w14:paraId="07654101" w14:textId="6A61B872" w:rsidR="00047DE4" w:rsidRDefault="00047DE4">
      <w:pPr>
        <w:pStyle w:val="TOC2"/>
        <w:tabs>
          <w:tab w:val="left" w:pos="960"/>
          <w:tab w:val="right" w:leader="dot" w:pos="8630"/>
        </w:tabs>
        <w:rPr>
          <w:noProof/>
          <w:kern w:val="2"/>
          <w:sz w:val="24"/>
          <w:szCs w:val="24"/>
          <w14:ligatures w14:val="standardContextual"/>
        </w:rPr>
      </w:pPr>
      <w:hyperlink w:anchor="_Toc213491712" w:history="1">
        <w:r w:rsidRPr="00377DC8">
          <w:rPr>
            <w:rStyle w:val="Hyperlink"/>
            <w:rFonts w:cstheme="majorHAnsi"/>
            <w:noProof/>
          </w:rPr>
          <w:t>4.2</w:t>
        </w:r>
        <w:r>
          <w:rPr>
            <w:noProof/>
            <w:kern w:val="2"/>
            <w:sz w:val="24"/>
            <w:szCs w:val="24"/>
            <w14:ligatures w14:val="standardContextual"/>
          </w:rPr>
          <w:tab/>
        </w:r>
        <w:r w:rsidRPr="00377DC8">
          <w:rPr>
            <w:rStyle w:val="Hyperlink"/>
            <w:rFonts w:cstheme="majorHAnsi"/>
            <w:noProof/>
          </w:rPr>
          <w:t>The particular asset that is the subject of the measurement</w:t>
        </w:r>
        <w:r>
          <w:rPr>
            <w:noProof/>
            <w:webHidden/>
          </w:rPr>
          <w:tab/>
        </w:r>
        <w:r>
          <w:rPr>
            <w:noProof/>
            <w:webHidden/>
          </w:rPr>
          <w:fldChar w:fldCharType="begin"/>
        </w:r>
        <w:r>
          <w:rPr>
            <w:noProof/>
            <w:webHidden/>
          </w:rPr>
          <w:instrText xml:space="preserve"> PAGEREF _Toc213491712 \h </w:instrText>
        </w:r>
        <w:r>
          <w:rPr>
            <w:noProof/>
            <w:webHidden/>
          </w:rPr>
        </w:r>
        <w:r>
          <w:rPr>
            <w:noProof/>
            <w:webHidden/>
          </w:rPr>
          <w:fldChar w:fldCharType="separate"/>
        </w:r>
        <w:r>
          <w:rPr>
            <w:noProof/>
            <w:webHidden/>
          </w:rPr>
          <w:t>6</w:t>
        </w:r>
        <w:r>
          <w:rPr>
            <w:noProof/>
            <w:webHidden/>
          </w:rPr>
          <w:fldChar w:fldCharType="end"/>
        </w:r>
      </w:hyperlink>
    </w:p>
    <w:p w14:paraId="527B726B" w14:textId="5F573CDB" w:rsidR="00047DE4" w:rsidRDefault="00047DE4">
      <w:pPr>
        <w:pStyle w:val="TOC2"/>
        <w:tabs>
          <w:tab w:val="left" w:pos="960"/>
          <w:tab w:val="right" w:leader="dot" w:pos="8630"/>
        </w:tabs>
        <w:rPr>
          <w:noProof/>
          <w:kern w:val="2"/>
          <w:sz w:val="24"/>
          <w:szCs w:val="24"/>
          <w14:ligatures w14:val="standardContextual"/>
        </w:rPr>
      </w:pPr>
      <w:hyperlink w:anchor="_Toc213491714" w:history="1">
        <w:r w:rsidRPr="00377DC8">
          <w:rPr>
            <w:rStyle w:val="Hyperlink"/>
            <w:rFonts w:cstheme="majorHAnsi"/>
            <w:noProof/>
          </w:rPr>
          <w:t>4.3</w:t>
        </w:r>
        <w:r>
          <w:rPr>
            <w:noProof/>
            <w:kern w:val="2"/>
            <w:sz w:val="24"/>
            <w:szCs w:val="24"/>
            <w14:ligatures w14:val="standardContextual"/>
          </w:rPr>
          <w:tab/>
        </w:r>
        <w:r w:rsidRPr="00377DC8">
          <w:rPr>
            <w:rStyle w:val="Hyperlink"/>
            <w:rFonts w:cstheme="majorHAnsi"/>
            <w:noProof/>
          </w:rPr>
          <w:t>For a non-financial asset, the valuation premise that is appropriate for the measurement</w:t>
        </w:r>
        <w:r>
          <w:rPr>
            <w:noProof/>
            <w:webHidden/>
          </w:rPr>
          <w:tab/>
        </w:r>
        <w:r>
          <w:rPr>
            <w:noProof/>
            <w:webHidden/>
          </w:rPr>
          <w:fldChar w:fldCharType="begin"/>
        </w:r>
        <w:r>
          <w:rPr>
            <w:noProof/>
            <w:webHidden/>
          </w:rPr>
          <w:instrText xml:space="preserve"> PAGEREF _Toc213491714 \h </w:instrText>
        </w:r>
        <w:r>
          <w:rPr>
            <w:noProof/>
            <w:webHidden/>
          </w:rPr>
        </w:r>
        <w:r>
          <w:rPr>
            <w:noProof/>
            <w:webHidden/>
          </w:rPr>
          <w:fldChar w:fldCharType="separate"/>
        </w:r>
        <w:r>
          <w:rPr>
            <w:noProof/>
            <w:webHidden/>
          </w:rPr>
          <w:t>7</w:t>
        </w:r>
        <w:r>
          <w:rPr>
            <w:noProof/>
            <w:webHidden/>
          </w:rPr>
          <w:fldChar w:fldCharType="end"/>
        </w:r>
      </w:hyperlink>
    </w:p>
    <w:p w14:paraId="64E14F68" w14:textId="48A8B82F" w:rsidR="00047DE4" w:rsidRDefault="00047DE4">
      <w:pPr>
        <w:pStyle w:val="TOC2"/>
        <w:tabs>
          <w:tab w:val="left" w:pos="960"/>
          <w:tab w:val="right" w:leader="dot" w:pos="8630"/>
        </w:tabs>
        <w:rPr>
          <w:noProof/>
          <w:kern w:val="2"/>
          <w:sz w:val="24"/>
          <w:szCs w:val="24"/>
          <w14:ligatures w14:val="standardContextual"/>
        </w:rPr>
      </w:pPr>
      <w:hyperlink w:anchor="_Toc213491715" w:history="1">
        <w:r w:rsidRPr="00377DC8">
          <w:rPr>
            <w:rStyle w:val="Hyperlink"/>
            <w:rFonts w:cstheme="majorHAnsi"/>
            <w:noProof/>
          </w:rPr>
          <w:t>4.4</w:t>
        </w:r>
        <w:r>
          <w:rPr>
            <w:noProof/>
            <w:kern w:val="2"/>
            <w:sz w:val="24"/>
            <w:szCs w:val="24"/>
            <w14:ligatures w14:val="standardContextual"/>
          </w:rPr>
          <w:tab/>
        </w:r>
        <w:r w:rsidRPr="00377DC8">
          <w:rPr>
            <w:rStyle w:val="Hyperlink"/>
            <w:rFonts w:cstheme="majorHAnsi"/>
            <w:noProof/>
          </w:rPr>
          <w:t>The principal (or most advantageous) market for the asset</w:t>
        </w:r>
        <w:r>
          <w:rPr>
            <w:noProof/>
            <w:webHidden/>
          </w:rPr>
          <w:tab/>
        </w:r>
        <w:r>
          <w:rPr>
            <w:noProof/>
            <w:webHidden/>
          </w:rPr>
          <w:fldChar w:fldCharType="begin"/>
        </w:r>
        <w:r>
          <w:rPr>
            <w:noProof/>
            <w:webHidden/>
          </w:rPr>
          <w:instrText xml:space="preserve"> PAGEREF _Toc213491715 \h </w:instrText>
        </w:r>
        <w:r>
          <w:rPr>
            <w:noProof/>
            <w:webHidden/>
          </w:rPr>
        </w:r>
        <w:r>
          <w:rPr>
            <w:noProof/>
            <w:webHidden/>
          </w:rPr>
          <w:fldChar w:fldCharType="separate"/>
        </w:r>
        <w:r>
          <w:rPr>
            <w:noProof/>
            <w:webHidden/>
          </w:rPr>
          <w:t>8</w:t>
        </w:r>
        <w:r>
          <w:rPr>
            <w:noProof/>
            <w:webHidden/>
          </w:rPr>
          <w:fldChar w:fldCharType="end"/>
        </w:r>
      </w:hyperlink>
    </w:p>
    <w:p w14:paraId="32B02F22" w14:textId="49BD4CBD" w:rsidR="00047DE4" w:rsidRDefault="00047DE4">
      <w:pPr>
        <w:pStyle w:val="TOC1"/>
        <w:tabs>
          <w:tab w:val="left" w:pos="440"/>
          <w:tab w:val="right" w:leader="dot" w:pos="8630"/>
        </w:tabs>
        <w:rPr>
          <w:noProof/>
          <w:kern w:val="2"/>
          <w:sz w:val="24"/>
          <w:szCs w:val="24"/>
          <w14:ligatures w14:val="standardContextual"/>
        </w:rPr>
      </w:pPr>
      <w:hyperlink w:anchor="_Toc213491716" w:history="1">
        <w:r w:rsidRPr="00377DC8">
          <w:rPr>
            <w:rStyle w:val="Hyperlink"/>
            <w:rFonts w:cstheme="majorHAnsi"/>
            <w:noProof/>
          </w:rPr>
          <w:t>5.</w:t>
        </w:r>
        <w:r>
          <w:rPr>
            <w:noProof/>
            <w:kern w:val="2"/>
            <w:sz w:val="24"/>
            <w:szCs w:val="24"/>
            <w14:ligatures w14:val="standardContextual"/>
          </w:rPr>
          <w:tab/>
        </w:r>
        <w:r w:rsidRPr="00377DC8">
          <w:rPr>
            <w:rStyle w:val="Hyperlink"/>
            <w:rFonts w:cstheme="majorHAnsi"/>
            <w:noProof/>
          </w:rPr>
          <w:t>Valuation Approaches (IFRS 13 and IVS 105)</w:t>
        </w:r>
        <w:r>
          <w:rPr>
            <w:noProof/>
            <w:webHidden/>
          </w:rPr>
          <w:tab/>
        </w:r>
        <w:r>
          <w:rPr>
            <w:noProof/>
            <w:webHidden/>
          </w:rPr>
          <w:fldChar w:fldCharType="begin"/>
        </w:r>
        <w:r>
          <w:rPr>
            <w:noProof/>
            <w:webHidden/>
          </w:rPr>
          <w:instrText xml:space="preserve"> PAGEREF _Toc213491716 \h </w:instrText>
        </w:r>
        <w:r>
          <w:rPr>
            <w:noProof/>
            <w:webHidden/>
          </w:rPr>
        </w:r>
        <w:r>
          <w:rPr>
            <w:noProof/>
            <w:webHidden/>
          </w:rPr>
          <w:fldChar w:fldCharType="separate"/>
        </w:r>
        <w:r>
          <w:rPr>
            <w:noProof/>
            <w:webHidden/>
          </w:rPr>
          <w:t>10</w:t>
        </w:r>
        <w:r>
          <w:rPr>
            <w:noProof/>
            <w:webHidden/>
          </w:rPr>
          <w:fldChar w:fldCharType="end"/>
        </w:r>
      </w:hyperlink>
    </w:p>
    <w:p w14:paraId="2C0D09D6" w14:textId="72846F36" w:rsidR="00047DE4" w:rsidRDefault="00047DE4">
      <w:pPr>
        <w:pStyle w:val="TOC1"/>
        <w:tabs>
          <w:tab w:val="left" w:pos="440"/>
          <w:tab w:val="right" w:leader="dot" w:pos="8630"/>
        </w:tabs>
        <w:rPr>
          <w:noProof/>
          <w:kern w:val="2"/>
          <w:sz w:val="24"/>
          <w:szCs w:val="24"/>
          <w14:ligatures w14:val="standardContextual"/>
        </w:rPr>
      </w:pPr>
      <w:hyperlink w:anchor="_Toc213491717" w:history="1">
        <w:r w:rsidRPr="00377DC8">
          <w:rPr>
            <w:rStyle w:val="Hyperlink"/>
            <w:rFonts w:cstheme="majorHAnsi"/>
            <w:noProof/>
          </w:rPr>
          <w:t>6.</w:t>
        </w:r>
        <w:r>
          <w:rPr>
            <w:noProof/>
            <w:kern w:val="2"/>
            <w:sz w:val="24"/>
            <w:szCs w:val="24"/>
            <w14:ligatures w14:val="standardContextual"/>
          </w:rPr>
          <w:tab/>
        </w:r>
        <w:r w:rsidRPr="00377DC8">
          <w:rPr>
            <w:rStyle w:val="Hyperlink"/>
            <w:rFonts w:cstheme="majorHAnsi"/>
            <w:noProof/>
          </w:rPr>
          <w:t>Valuation of Property, Plant and Equipment (PPE) including Investment Properties</w:t>
        </w:r>
        <w:r>
          <w:rPr>
            <w:noProof/>
            <w:webHidden/>
          </w:rPr>
          <w:tab/>
        </w:r>
        <w:r>
          <w:rPr>
            <w:noProof/>
            <w:webHidden/>
          </w:rPr>
          <w:fldChar w:fldCharType="begin"/>
        </w:r>
        <w:r>
          <w:rPr>
            <w:noProof/>
            <w:webHidden/>
          </w:rPr>
          <w:instrText xml:space="preserve"> PAGEREF _Toc213491717 \h </w:instrText>
        </w:r>
        <w:r>
          <w:rPr>
            <w:noProof/>
            <w:webHidden/>
          </w:rPr>
        </w:r>
        <w:r>
          <w:rPr>
            <w:noProof/>
            <w:webHidden/>
          </w:rPr>
          <w:fldChar w:fldCharType="separate"/>
        </w:r>
        <w:r>
          <w:rPr>
            <w:noProof/>
            <w:webHidden/>
          </w:rPr>
          <w:t>14</w:t>
        </w:r>
        <w:r>
          <w:rPr>
            <w:noProof/>
            <w:webHidden/>
          </w:rPr>
          <w:fldChar w:fldCharType="end"/>
        </w:r>
      </w:hyperlink>
    </w:p>
    <w:p w14:paraId="0B3F3275" w14:textId="0FE97D2F" w:rsidR="00047DE4" w:rsidRDefault="00047DE4">
      <w:pPr>
        <w:pStyle w:val="TOC3"/>
        <w:tabs>
          <w:tab w:val="left" w:pos="1200"/>
          <w:tab w:val="right" w:leader="dot" w:pos="8630"/>
        </w:tabs>
        <w:rPr>
          <w:noProof/>
          <w:kern w:val="2"/>
          <w:sz w:val="24"/>
          <w:szCs w:val="24"/>
          <w14:ligatures w14:val="standardContextual"/>
        </w:rPr>
      </w:pPr>
      <w:hyperlink w:anchor="_Toc213491718" w:history="1">
        <w:r w:rsidRPr="00377DC8">
          <w:rPr>
            <w:rStyle w:val="Hyperlink"/>
            <w:rFonts w:cstheme="majorHAnsi"/>
            <w:noProof/>
          </w:rPr>
          <w:t>6.1</w:t>
        </w:r>
        <w:r>
          <w:rPr>
            <w:noProof/>
            <w:kern w:val="2"/>
            <w:sz w:val="24"/>
            <w:szCs w:val="24"/>
            <w14:ligatures w14:val="standardContextual"/>
          </w:rPr>
          <w:tab/>
        </w:r>
        <w:r w:rsidRPr="00377DC8">
          <w:rPr>
            <w:rStyle w:val="Hyperlink"/>
            <w:rFonts w:cstheme="majorHAnsi"/>
            <w:noProof/>
          </w:rPr>
          <w:t>Valuation of Property (Land and Buildings)</w:t>
        </w:r>
        <w:r>
          <w:rPr>
            <w:noProof/>
            <w:webHidden/>
          </w:rPr>
          <w:tab/>
        </w:r>
        <w:r>
          <w:rPr>
            <w:noProof/>
            <w:webHidden/>
          </w:rPr>
          <w:fldChar w:fldCharType="begin"/>
        </w:r>
        <w:r>
          <w:rPr>
            <w:noProof/>
            <w:webHidden/>
          </w:rPr>
          <w:instrText xml:space="preserve"> PAGEREF _Toc213491718 \h </w:instrText>
        </w:r>
        <w:r>
          <w:rPr>
            <w:noProof/>
            <w:webHidden/>
          </w:rPr>
        </w:r>
        <w:r>
          <w:rPr>
            <w:noProof/>
            <w:webHidden/>
          </w:rPr>
          <w:fldChar w:fldCharType="separate"/>
        </w:r>
        <w:r>
          <w:rPr>
            <w:noProof/>
            <w:webHidden/>
          </w:rPr>
          <w:t>14</w:t>
        </w:r>
        <w:r>
          <w:rPr>
            <w:noProof/>
            <w:webHidden/>
          </w:rPr>
          <w:fldChar w:fldCharType="end"/>
        </w:r>
      </w:hyperlink>
    </w:p>
    <w:p w14:paraId="127F7292" w14:textId="020FBE8C" w:rsidR="00047DE4" w:rsidRDefault="00047DE4">
      <w:pPr>
        <w:pStyle w:val="TOC3"/>
        <w:tabs>
          <w:tab w:val="left" w:pos="1200"/>
          <w:tab w:val="right" w:leader="dot" w:pos="8630"/>
        </w:tabs>
        <w:rPr>
          <w:noProof/>
          <w:kern w:val="2"/>
          <w:sz w:val="24"/>
          <w:szCs w:val="24"/>
          <w14:ligatures w14:val="standardContextual"/>
        </w:rPr>
      </w:pPr>
      <w:hyperlink w:anchor="_Toc213491719" w:history="1">
        <w:r w:rsidRPr="00377DC8">
          <w:rPr>
            <w:rStyle w:val="Hyperlink"/>
            <w:rFonts w:cstheme="majorHAnsi"/>
            <w:noProof/>
          </w:rPr>
          <w:t>6.1.1</w:t>
        </w:r>
        <w:r>
          <w:rPr>
            <w:noProof/>
            <w:kern w:val="2"/>
            <w:sz w:val="24"/>
            <w:szCs w:val="24"/>
            <w14:ligatures w14:val="standardContextual"/>
          </w:rPr>
          <w:tab/>
        </w:r>
        <w:r w:rsidRPr="00377DC8">
          <w:rPr>
            <w:rStyle w:val="Hyperlink"/>
            <w:rFonts w:cstheme="majorHAnsi"/>
            <w:noProof/>
          </w:rPr>
          <w:t>Market approach</w:t>
        </w:r>
        <w:r>
          <w:rPr>
            <w:noProof/>
            <w:webHidden/>
          </w:rPr>
          <w:tab/>
        </w:r>
        <w:r>
          <w:rPr>
            <w:noProof/>
            <w:webHidden/>
          </w:rPr>
          <w:fldChar w:fldCharType="begin"/>
        </w:r>
        <w:r>
          <w:rPr>
            <w:noProof/>
            <w:webHidden/>
          </w:rPr>
          <w:instrText xml:space="preserve"> PAGEREF _Toc213491719 \h </w:instrText>
        </w:r>
        <w:r>
          <w:rPr>
            <w:noProof/>
            <w:webHidden/>
          </w:rPr>
        </w:r>
        <w:r>
          <w:rPr>
            <w:noProof/>
            <w:webHidden/>
          </w:rPr>
          <w:fldChar w:fldCharType="separate"/>
        </w:r>
        <w:r>
          <w:rPr>
            <w:noProof/>
            <w:webHidden/>
          </w:rPr>
          <w:t>14</w:t>
        </w:r>
        <w:r>
          <w:rPr>
            <w:noProof/>
            <w:webHidden/>
          </w:rPr>
          <w:fldChar w:fldCharType="end"/>
        </w:r>
      </w:hyperlink>
    </w:p>
    <w:p w14:paraId="3E5B0A21" w14:textId="73119857" w:rsidR="00047DE4" w:rsidRDefault="00047DE4">
      <w:pPr>
        <w:pStyle w:val="TOC3"/>
        <w:tabs>
          <w:tab w:val="left" w:pos="1200"/>
          <w:tab w:val="right" w:leader="dot" w:pos="8630"/>
        </w:tabs>
        <w:rPr>
          <w:noProof/>
          <w:kern w:val="2"/>
          <w:sz w:val="24"/>
          <w:szCs w:val="24"/>
          <w14:ligatures w14:val="standardContextual"/>
        </w:rPr>
      </w:pPr>
      <w:hyperlink w:anchor="_Toc213491720" w:history="1">
        <w:r w:rsidRPr="00377DC8">
          <w:rPr>
            <w:rStyle w:val="Hyperlink"/>
            <w:rFonts w:cstheme="majorHAnsi"/>
            <w:noProof/>
          </w:rPr>
          <w:t>6.1.2</w:t>
        </w:r>
        <w:r>
          <w:rPr>
            <w:noProof/>
            <w:kern w:val="2"/>
            <w:sz w:val="24"/>
            <w:szCs w:val="24"/>
            <w14:ligatures w14:val="standardContextual"/>
          </w:rPr>
          <w:tab/>
        </w:r>
        <w:r w:rsidRPr="00377DC8">
          <w:rPr>
            <w:rStyle w:val="Hyperlink"/>
            <w:rFonts w:cstheme="majorHAnsi"/>
            <w:noProof/>
          </w:rPr>
          <w:t>Income Approach</w:t>
        </w:r>
        <w:r>
          <w:rPr>
            <w:noProof/>
            <w:webHidden/>
          </w:rPr>
          <w:tab/>
        </w:r>
        <w:r>
          <w:rPr>
            <w:noProof/>
            <w:webHidden/>
          </w:rPr>
          <w:fldChar w:fldCharType="begin"/>
        </w:r>
        <w:r>
          <w:rPr>
            <w:noProof/>
            <w:webHidden/>
          </w:rPr>
          <w:instrText xml:space="preserve"> PAGEREF _Toc213491720 \h </w:instrText>
        </w:r>
        <w:r>
          <w:rPr>
            <w:noProof/>
            <w:webHidden/>
          </w:rPr>
        </w:r>
        <w:r>
          <w:rPr>
            <w:noProof/>
            <w:webHidden/>
          </w:rPr>
          <w:fldChar w:fldCharType="separate"/>
        </w:r>
        <w:r>
          <w:rPr>
            <w:noProof/>
            <w:webHidden/>
          </w:rPr>
          <w:t>15</w:t>
        </w:r>
        <w:r>
          <w:rPr>
            <w:noProof/>
            <w:webHidden/>
          </w:rPr>
          <w:fldChar w:fldCharType="end"/>
        </w:r>
      </w:hyperlink>
    </w:p>
    <w:p w14:paraId="45A06B94" w14:textId="0D394862" w:rsidR="00047DE4" w:rsidRDefault="00047DE4">
      <w:pPr>
        <w:pStyle w:val="TOC4"/>
        <w:tabs>
          <w:tab w:val="left" w:pos="1680"/>
          <w:tab w:val="right" w:leader="dot" w:pos="8630"/>
        </w:tabs>
        <w:rPr>
          <w:noProof/>
          <w:kern w:val="2"/>
          <w:sz w:val="24"/>
          <w:szCs w:val="24"/>
          <w14:ligatures w14:val="standardContextual"/>
        </w:rPr>
      </w:pPr>
      <w:hyperlink w:anchor="_Toc213491721" w:history="1">
        <w:r w:rsidRPr="00377DC8">
          <w:rPr>
            <w:rStyle w:val="Hyperlink"/>
            <w:rFonts w:cstheme="majorHAnsi"/>
            <w:noProof/>
          </w:rPr>
          <w:t>6.1.2.1</w:t>
        </w:r>
        <w:r>
          <w:rPr>
            <w:noProof/>
            <w:kern w:val="2"/>
            <w:sz w:val="24"/>
            <w:szCs w:val="24"/>
            <w14:ligatures w14:val="standardContextual"/>
          </w:rPr>
          <w:tab/>
        </w:r>
        <w:r w:rsidRPr="00377DC8">
          <w:rPr>
            <w:rStyle w:val="Hyperlink"/>
            <w:rFonts w:cstheme="majorHAnsi"/>
            <w:noProof/>
          </w:rPr>
          <w:t>Discounted Cash Flow (DCF) method</w:t>
        </w:r>
        <w:r>
          <w:rPr>
            <w:noProof/>
            <w:webHidden/>
          </w:rPr>
          <w:tab/>
        </w:r>
        <w:r>
          <w:rPr>
            <w:noProof/>
            <w:webHidden/>
          </w:rPr>
          <w:fldChar w:fldCharType="begin"/>
        </w:r>
        <w:r>
          <w:rPr>
            <w:noProof/>
            <w:webHidden/>
          </w:rPr>
          <w:instrText xml:space="preserve"> PAGEREF _Toc213491721 \h </w:instrText>
        </w:r>
        <w:r>
          <w:rPr>
            <w:noProof/>
            <w:webHidden/>
          </w:rPr>
        </w:r>
        <w:r>
          <w:rPr>
            <w:noProof/>
            <w:webHidden/>
          </w:rPr>
          <w:fldChar w:fldCharType="separate"/>
        </w:r>
        <w:r>
          <w:rPr>
            <w:noProof/>
            <w:webHidden/>
          </w:rPr>
          <w:t>16</w:t>
        </w:r>
        <w:r>
          <w:rPr>
            <w:noProof/>
            <w:webHidden/>
          </w:rPr>
          <w:fldChar w:fldCharType="end"/>
        </w:r>
      </w:hyperlink>
    </w:p>
    <w:p w14:paraId="364BF391" w14:textId="69A8267F" w:rsidR="00047DE4" w:rsidRDefault="00047DE4">
      <w:pPr>
        <w:pStyle w:val="TOC3"/>
        <w:tabs>
          <w:tab w:val="left" w:pos="1200"/>
          <w:tab w:val="right" w:leader="dot" w:pos="8630"/>
        </w:tabs>
        <w:rPr>
          <w:noProof/>
          <w:kern w:val="2"/>
          <w:sz w:val="24"/>
          <w:szCs w:val="24"/>
          <w14:ligatures w14:val="standardContextual"/>
        </w:rPr>
      </w:pPr>
      <w:hyperlink w:anchor="_Toc213491722" w:history="1">
        <w:r w:rsidRPr="00377DC8">
          <w:rPr>
            <w:rStyle w:val="Hyperlink"/>
            <w:rFonts w:cstheme="majorHAnsi"/>
            <w:noProof/>
          </w:rPr>
          <w:t>6.1.3</w:t>
        </w:r>
        <w:r>
          <w:rPr>
            <w:noProof/>
            <w:kern w:val="2"/>
            <w:sz w:val="24"/>
            <w:szCs w:val="24"/>
            <w14:ligatures w14:val="standardContextual"/>
          </w:rPr>
          <w:tab/>
        </w:r>
        <w:r w:rsidRPr="00377DC8">
          <w:rPr>
            <w:rStyle w:val="Hyperlink"/>
            <w:rFonts w:cstheme="majorHAnsi"/>
            <w:noProof/>
          </w:rPr>
          <w:t>Cost Approach</w:t>
        </w:r>
        <w:r>
          <w:rPr>
            <w:noProof/>
            <w:webHidden/>
          </w:rPr>
          <w:tab/>
        </w:r>
        <w:r>
          <w:rPr>
            <w:noProof/>
            <w:webHidden/>
          </w:rPr>
          <w:fldChar w:fldCharType="begin"/>
        </w:r>
        <w:r>
          <w:rPr>
            <w:noProof/>
            <w:webHidden/>
          </w:rPr>
          <w:instrText xml:space="preserve"> PAGEREF _Toc213491722 \h </w:instrText>
        </w:r>
        <w:r>
          <w:rPr>
            <w:noProof/>
            <w:webHidden/>
          </w:rPr>
        </w:r>
        <w:r>
          <w:rPr>
            <w:noProof/>
            <w:webHidden/>
          </w:rPr>
          <w:fldChar w:fldCharType="separate"/>
        </w:r>
        <w:r>
          <w:rPr>
            <w:noProof/>
            <w:webHidden/>
          </w:rPr>
          <w:t>18</w:t>
        </w:r>
        <w:r>
          <w:rPr>
            <w:noProof/>
            <w:webHidden/>
          </w:rPr>
          <w:fldChar w:fldCharType="end"/>
        </w:r>
      </w:hyperlink>
    </w:p>
    <w:p w14:paraId="1ACBE39C" w14:textId="251871CB" w:rsidR="00047DE4" w:rsidRDefault="00047DE4">
      <w:pPr>
        <w:pStyle w:val="TOC4"/>
        <w:tabs>
          <w:tab w:val="left" w:pos="1680"/>
          <w:tab w:val="right" w:leader="dot" w:pos="8630"/>
        </w:tabs>
        <w:rPr>
          <w:noProof/>
          <w:kern w:val="2"/>
          <w:sz w:val="24"/>
          <w:szCs w:val="24"/>
          <w14:ligatures w14:val="standardContextual"/>
        </w:rPr>
      </w:pPr>
      <w:hyperlink w:anchor="_Toc213491723" w:history="1">
        <w:r w:rsidRPr="00377DC8">
          <w:rPr>
            <w:rStyle w:val="Hyperlink"/>
            <w:rFonts w:cstheme="majorHAnsi"/>
            <w:noProof/>
          </w:rPr>
          <w:t>6.1.3.1</w:t>
        </w:r>
        <w:r>
          <w:rPr>
            <w:noProof/>
            <w:kern w:val="2"/>
            <w:sz w:val="24"/>
            <w:szCs w:val="24"/>
            <w14:ligatures w14:val="standardContextual"/>
          </w:rPr>
          <w:tab/>
        </w:r>
        <w:r w:rsidRPr="00377DC8">
          <w:rPr>
            <w:rStyle w:val="Hyperlink"/>
            <w:rFonts w:cstheme="majorHAnsi"/>
            <w:noProof/>
          </w:rPr>
          <w:t>Replacement Cost Method</w:t>
        </w:r>
        <w:r>
          <w:rPr>
            <w:noProof/>
            <w:webHidden/>
          </w:rPr>
          <w:tab/>
        </w:r>
        <w:r>
          <w:rPr>
            <w:noProof/>
            <w:webHidden/>
          </w:rPr>
          <w:fldChar w:fldCharType="begin"/>
        </w:r>
        <w:r>
          <w:rPr>
            <w:noProof/>
            <w:webHidden/>
          </w:rPr>
          <w:instrText xml:space="preserve"> PAGEREF _Toc213491723 \h </w:instrText>
        </w:r>
        <w:r>
          <w:rPr>
            <w:noProof/>
            <w:webHidden/>
          </w:rPr>
        </w:r>
        <w:r>
          <w:rPr>
            <w:noProof/>
            <w:webHidden/>
          </w:rPr>
          <w:fldChar w:fldCharType="separate"/>
        </w:r>
        <w:r>
          <w:rPr>
            <w:noProof/>
            <w:webHidden/>
          </w:rPr>
          <w:t>18</w:t>
        </w:r>
        <w:r>
          <w:rPr>
            <w:noProof/>
            <w:webHidden/>
          </w:rPr>
          <w:fldChar w:fldCharType="end"/>
        </w:r>
      </w:hyperlink>
    </w:p>
    <w:p w14:paraId="1AE79AA9" w14:textId="60555A8F" w:rsidR="00047DE4" w:rsidRDefault="00047DE4">
      <w:pPr>
        <w:pStyle w:val="TOC3"/>
        <w:tabs>
          <w:tab w:val="left" w:pos="1200"/>
          <w:tab w:val="right" w:leader="dot" w:pos="8630"/>
        </w:tabs>
        <w:rPr>
          <w:noProof/>
          <w:kern w:val="2"/>
          <w:sz w:val="24"/>
          <w:szCs w:val="24"/>
          <w14:ligatures w14:val="standardContextual"/>
        </w:rPr>
      </w:pPr>
      <w:hyperlink w:anchor="_Toc213491724" w:history="1">
        <w:r w:rsidRPr="00377DC8">
          <w:rPr>
            <w:rStyle w:val="Hyperlink"/>
            <w:rFonts w:cstheme="majorHAnsi"/>
            <w:noProof/>
          </w:rPr>
          <w:t>6.2</w:t>
        </w:r>
        <w:r>
          <w:rPr>
            <w:noProof/>
            <w:kern w:val="2"/>
            <w:sz w:val="24"/>
            <w:szCs w:val="24"/>
            <w14:ligatures w14:val="standardContextual"/>
          </w:rPr>
          <w:tab/>
        </w:r>
        <w:r w:rsidRPr="00377DC8">
          <w:rPr>
            <w:rStyle w:val="Hyperlink"/>
            <w:noProof/>
          </w:rPr>
          <w:t>Valuation of Plant and Equipment</w:t>
        </w:r>
        <w:r>
          <w:rPr>
            <w:noProof/>
            <w:webHidden/>
          </w:rPr>
          <w:tab/>
        </w:r>
        <w:r>
          <w:rPr>
            <w:noProof/>
            <w:webHidden/>
          </w:rPr>
          <w:fldChar w:fldCharType="begin"/>
        </w:r>
        <w:r>
          <w:rPr>
            <w:noProof/>
            <w:webHidden/>
          </w:rPr>
          <w:instrText xml:space="preserve"> PAGEREF _Toc213491724 \h </w:instrText>
        </w:r>
        <w:r>
          <w:rPr>
            <w:noProof/>
            <w:webHidden/>
          </w:rPr>
        </w:r>
        <w:r>
          <w:rPr>
            <w:noProof/>
            <w:webHidden/>
          </w:rPr>
          <w:fldChar w:fldCharType="separate"/>
        </w:r>
        <w:r>
          <w:rPr>
            <w:noProof/>
            <w:webHidden/>
          </w:rPr>
          <w:t>21</w:t>
        </w:r>
        <w:r>
          <w:rPr>
            <w:noProof/>
            <w:webHidden/>
          </w:rPr>
          <w:fldChar w:fldCharType="end"/>
        </w:r>
      </w:hyperlink>
    </w:p>
    <w:p w14:paraId="422507B5" w14:textId="5D4D61A2" w:rsidR="00047DE4" w:rsidRDefault="00047DE4">
      <w:pPr>
        <w:pStyle w:val="TOC4"/>
        <w:tabs>
          <w:tab w:val="left" w:pos="1680"/>
          <w:tab w:val="right" w:leader="dot" w:pos="8630"/>
        </w:tabs>
        <w:rPr>
          <w:noProof/>
          <w:kern w:val="2"/>
          <w:sz w:val="24"/>
          <w:szCs w:val="24"/>
          <w14:ligatures w14:val="standardContextual"/>
        </w:rPr>
      </w:pPr>
      <w:hyperlink w:anchor="_Toc213491725" w:history="1">
        <w:r w:rsidRPr="00377DC8">
          <w:rPr>
            <w:rStyle w:val="Hyperlink"/>
            <w:rFonts w:cstheme="majorHAnsi"/>
            <w:noProof/>
          </w:rPr>
          <w:t>6.2.1.</w:t>
        </w:r>
        <w:r>
          <w:rPr>
            <w:noProof/>
            <w:kern w:val="2"/>
            <w:sz w:val="24"/>
            <w:szCs w:val="24"/>
            <w14:ligatures w14:val="standardContextual"/>
          </w:rPr>
          <w:tab/>
        </w:r>
        <w:r w:rsidRPr="00377DC8">
          <w:rPr>
            <w:rStyle w:val="Hyperlink"/>
            <w:rFonts w:cstheme="majorHAnsi"/>
            <w:noProof/>
          </w:rPr>
          <w:t>Market Approach</w:t>
        </w:r>
        <w:r>
          <w:rPr>
            <w:noProof/>
            <w:webHidden/>
          </w:rPr>
          <w:tab/>
        </w:r>
        <w:r>
          <w:rPr>
            <w:noProof/>
            <w:webHidden/>
          </w:rPr>
          <w:fldChar w:fldCharType="begin"/>
        </w:r>
        <w:r>
          <w:rPr>
            <w:noProof/>
            <w:webHidden/>
          </w:rPr>
          <w:instrText xml:space="preserve"> PAGEREF _Toc213491725 \h </w:instrText>
        </w:r>
        <w:r>
          <w:rPr>
            <w:noProof/>
            <w:webHidden/>
          </w:rPr>
        </w:r>
        <w:r>
          <w:rPr>
            <w:noProof/>
            <w:webHidden/>
          </w:rPr>
          <w:fldChar w:fldCharType="separate"/>
        </w:r>
        <w:r>
          <w:rPr>
            <w:noProof/>
            <w:webHidden/>
          </w:rPr>
          <w:t>21</w:t>
        </w:r>
        <w:r>
          <w:rPr>
            <w:noProof/>
            <w:webHidden/>
          </w:rPr>
          <w:fldChar w:fldCharType="end"/>
        </w:r>
      </w:hyperlink>
    </w:p>
    <w:p w14:paraId="21A57B14" w14:textId="4017AF0E" w:rsidR="00047DE4" w:rsidRDefault="00047DE4">
      <w:pPr>
        <w:pStyle w:val="TOC4"/>
        <w:tabs>
          <w:tab w:val="left" w:pos="1680"/>
          <w:tab w:val="right" w:leader="dot" w:pos="8630"/>
        </w:tabs>
        <w:rPr>
          <w:noProof/>
          <w:kern w:val="2"/>
          <w:sz w:val="24"/>
          <w:szCs w:val="24"/>
          <w14:ligatures w14:val="standardContextual"/>
        </w:rPr>
      </w:pPr>
      <w:hyperlink w:anchor="_Toc213491726" w:history="1">
        <w:r w:rsidRPr="00377DC8">
          <w:rPr>
            <w:rStyle w:val="Hyperlink"/>
            <w:rFonts w:cstheme="majorHAnsi"/>
            <w:noProof/>
          </w:rPr>
          <w:t>6.2.2.</w:t>
        </w:r>
        <w:r>
          <w:rPr>
            <w:noProof/>
            <w:kern w:val="2"/>
            <w:sz w:val="24"/>
            <w:szCs w:val="24"/>
            <w14:ligatures w14:val="standardContextual"/>
          </w:rPr>
          <w:tab/>
        </w:r>
        <w:r w:rsidRPr="00377DC8">
          <w:rPr>
            <w:rStyle w:val="Hyperlink"/>
            <w:rFonts w:cstheme="majorHAnsi"/>
            <w:noProof/>
          </w:rPr>
          <w:t>Income Approach</w:t>
        </w:r>
        <w:r>
          <w:rPr>
            <w:noProof/>
            <w:webHidden/>
          </w:rPr>
          <w:tab/>
        </w:r>
        <w:r>
          <w:rPr>
            <w:noProof/>
            <w:webHidden/>
          </w:rPr>
          <w:fldChar w:fldCharType="begin"/>
        </w:r>
        <w:r>
          <w:rPr>
            <w:noProof/>
            <w:webHidden/>
          </w:rPr>
          <w:instrText xml:space="preserve"> PAGEREF _Toc213491726 \h </w:instrText>
        </w:r>
        <w:r>
          <w:rPr>
            <w:noProof/>
            <w:webHidden/>
          </w:rPr>
        </w:r>
        <w:r>
          <w:rPr>
            <w:noProof/>
            <w:webHidden/>
          </w:rPr>
          <w:fldChar w:fldCharType="separate"/>
        </w:r>
        <w:r>
          <w:rPr>
            <w:noProof/>
            <w:webHidden/>
          </w:rPr>
          <w:t>23</w:t>
        </w:r>
        <w:r>
          <w:rPr>
            <w:noProof/>
            <w:webHidden/>
          </w:rPr>
          <w:fldChar w:fldCharType="end"/>
        </w:r>
      </w:hyperlink>
    </w:p>
    <w:p w14:paraId="646F7D50" w14:textId="04984654" w:rsidR="00047DE4" w:rsidRDefault="00047DE4">
      <w:pPr>
        <w:pStyle w:val="TOC4"/>
        <w:tabs>
          <w:tab w:val="left" w:pos="1680"/>
          <w:tab w:val="right" w:leader="dot" w:pos="8630"/>
        </w:tabs>
        <w:rPr>
          <w:noProof/>
          <w:kern w:val="2"/>
          <w:sz w:val="24"/>
          <w:szCs w:val="24"/>
          <w14:ligatures w14:val="standardContextual"/>
        </w:rPr>
      </w:pPr>
      <w:hyperlink w:anchor="_Toc213491727" w:history="1">
        <w:r w:rsidRPr="00377DC8">
          <w:rPr>
            <w:rStyle w:val="Hyperlink"/>
            <w:rFonts w:cstheme="majorHAnsi"/>
            <w:noProof/>
          </w:rPr>
          <w:t>6.2.3.</w:t>
        </w:r>
        <w:r>
          <w:rPr>
            <w:noProof/>
            <w:kern w:val="2"/>
            <w:sz w:val="24"/>
            <w:szCs w:val="24"/>
            <w14:ligatures w14:val="standardContextual"/>
          </w:rPr>
          <w:tab/>
        </w:r>
        <w:r w:rsidRPr="00377DC8">
          <w:rPr>
            <w:rStyle w:val="Hyperlink"/>
            <w:rFonts w:cstheme="majorHAnsi"/>
            <w:noProof/>
          </w:rPr>
          <w:t>Cost Approach</w:t>
        </w:r>
        <w:r>
          <w:rPr>
            <w:noProof/>
            <w:webHidden/>
          </w:rPr>
          <w:tab/>
        </w:r>
        <w:r>
          <w:rPr>
            <w:noProof/>
            <w:webHidden/>
          </w:rPr>
          <w:fldChar w:fldCharType="begin"/>
        </w:r>
        <w:r>
          <w:rPr>
            <w:noProof/>
            <w:webHidden/>
          </w:rPr>
          <w:instrText xml:space="preserve"> PAGEREF _Toc213491727 \h </w:instrText>
        </w:r>
        <w:r>
          <w:rPr>
            <w:noProof/>
            <w:webHidden/>
          </w:rPr>
        </w:r>
        <w:r>
          <w:rPr>
            <w:noProof/>
            <w:webHidden/>
          </w:rPr>
          <w:fldChar w:fldCharType="separate"/>
        </w:r>
        <w:r>
          <w:rPr>
            <w:noProof/>
            <w:webHidden/>
          </w:rPr>
          <w:t>24</w:t>
        </w:r>
        <w:r>
          <w:rPr>
            <w:noProof/>
            <w:webHidden/>
          </w:rPr>
          <w:fldChar w:fldCharType="end"/>
        </w:r>
      </w:hyperlink>
    </w:p>
    <w:p w14:paraId="2427581B" w14:textId="769A8FC0" w:rsidR="00047DE4" w:rsidRDefault="00047DE4">
      <w:pPr>
        <w:pStyle w:val="TOC4"/>
        <w:tabs>
          <w:tab w:val="left" w:pos="1680"/>
          <w:tab w:val="right" w:leader="dot" w:pos="8630"/>
        </w:tabs>
        <w:rPr>
          <w:noProof/>
          <w:kern w:val="2"/>
          <w:sz w:val="24"/>
          <w:szCs w:val="24"/>
          <w14:ligatures w14:val="standardContextual"/>
        </w:rPr>
      </w:pPr>
      <w:hyperlink w:anchor="_Toc213491728" w:history="1">
        <w:r w:rsidRPr="00377DC8">
          <w:rPr>
            <w:rStyle w:val="Hyperlink"/>
            <w:rFonts w:cstheme="majorHAnsi"/>
            <w:noProof/>
          </w:rPr>
          <w:t>6.2.3.1.</w:t>
        </w:r>
        <w:r>
          <w:rPr>
            <w:noProof/>
            <w:kern w:val="2"/>
            <w:sz w:val="24"/>
            <w:szCs w:val="24"/>
            <w14:ligatures w14:val="standardContextual"/>
          </w:rPr>
          <w:tab/>
        </w:r>
        <w:r w:rsidRPr="00377DC8">
          <w:rPr>
            <w:rStyle w:val="Hyperlink"/>
            <w:rFonts w:cstheme="majorHAnsi"/>
            <w:noProof/>
          </w:rPr>
          <w:t>Replacement Cost Method</w:t>
        </w:r>
        <w:r>
          <w:rPr>
            <w:noProof/>
            <w:webHidden/>
          </w:rPr>
          <w:tab/>
        </w:r>
        <w:r>
          <w:rPr>
            <w:noProof/>
            <w:webHidden/>
          </w:rPr>
          <w:fldChar w:fldCharType="begin"/>
        </w:r>
        <w:r>
          <w:rPr>
            <w:noProof/>
            <w:webHidden/>
          </w:rPr>
          <w:instrText xml:space="preserve"> PAGEREF _Toc213491728 \h </w:instrText>
        </w:r>
        <w:r>
          <w:rPr>
            <w:noProof/>
            <w:webHidden/>
          </w:rPr>
        </w:r>
        <w:r>
          <w:rPr>
            <w:noProof/>
            <w:webHidden/>
          </w:rPr>
          <w:fldChar w:fldCharType="separate"/>
        </w:r>
        <w:r>
          <w:rPr>
            <w:noProof/>
            <w:webHidden/>
          </w:rPr>
          <w:t>24</w:t>
        </w:r>
        <w:r>
          <w:rPr>
            <w:noProof/>
            <w:webHidden/>
          </w:rPr>
          <w:fldChar w:fldCharType="end"/>
        </w:r>
      </w:hyperlink>
    </w:p>
    <w:p w14:paraId="146BC8D2" w14:textId="18B73852" w:rsidR="00047DE4" w:rsidRDefault="00047DE4">
      <w:pPr>
        <w:pStyle w:val="TOC4"/>
        <w:tabs>
          <w:tab w:val="left" w:pos="1680"/>
          <w:tab w:val="right" w:leader="dot" w:pos="8630"/>
        </w:tabs>
        <w:rPr>
          <w:noProof/>
          <w:kern w:val="2"/>
          <w:sz w:val="24"/>
          <w:szCs w:val="24"/>
          <w14:ligatures w14:val="standardContextual"/>
        </w:rPr>
      </w:pPr>
      <w:hyperlink w:anchor="_Toc213491729" w:history="1">
        <w:r w:rsidRPr="00377DC8">
          <w:rPr>
            <w:rStyle w:val="Hyperlink"/>
            <w:rFonts w:cstheme="majorHAnsi"/>
            <w:noProof/>
          </w:rPr>
          <w:t>6.2.3.2.</w:t>
        </w:r>
        <w:r>
          <w:rPr>
            <w:noProof/>
            <w:kern w:val="2"/>
            <w:sz w:val="24"/>
            <w:szCs w:val="24"/>
            <w14:ligatures w14:val="standardContextual"/>
          </w:rPr>
          <w:tab/>
        </w:r>
        <w:r w:rsidRPr="00377DC8">
          <w:rPr>
            <w:rStyle w:val="Hyperlink"/>
            <w:rFonts w:cstheme="majorHAnsi"/>
            <w:noProof/>
          </w:rPr>
          <w:t>Reproduction Cost Method</w:t>
        </w:r>
        <w:r>
          <w:rPr>
            <w:noProof/>
            <w:webHidden/>
          </w:rPr>
          <w:tab/>
        </w:r>
        <w:r>
          <w:rPr>
            <w:noProof/>
            <w:webHidden/>
          </w:rPr>
          <w:fldChar w:fldCharType="begin"/>
        </w:r>
        <w:r>
          <w:rPr>
            <w:noProof/>
            <w:webHidden/>
          </w:rPr>
          <w:instrText xml:space="preserve"> PAGEREF _Toc213491729 \h </w:instrText>
        </w:r>
        <w:r>
          <w:rPr>
            <w:noProof/>
            <w:webHidden/>
          </w:rPr>
        </w:r>
        <w:r>
          <w:rPr>
            <w:noProof/>
            <w:webHidden/>
          </w:rPr>
          <w:fldChar w:fldCharType="separate"/>
        </w:r>
        <w:r>
          <w:rPr>
            <w:noProof/>
            <w:webHidden/>
          </w:rPr>
          <w:t>25</w:t>
        </w:r>
        <w:r>
          <w:rPr>
            <w:noProof/>
            <w:webHidden/>
          </w:rPr>
          <w:fldChar w:fldCharType="end"/>
        </w:r>
      </w:hyperlink>
    </w:p>
    <w:p w14:paraId="0603DEEF" w14:textId="1F83E581" w:rsidR="00047DE4" w:rsidRDefault="00047DE4">
      <w:pPr>
        <w:pStyle w:val="TOC4"/>
        <w:tabs>
          <w:tab w:val="left" w:pos="1680"/>
          <w:tab w:val="right" w:leader="dot" w:pos="8630"/>
        </w:tabs>
        <w:rPr>
          <w:noProof/>
          <w:kern w:val="2"/>
          <w:sz w:val="24"/>
          <w:szCs w:val="24"/>
          <w14:ligatures w14:val="standardContextual"/>
        </w:rPr>
      </w:pPr>
      <w:hyperlink w:anchor="_Toc213491730" w:history="1">
        <w:r w:rsidRPr="00377DC8">
          <w:rPr>
            <w:rStyle w:val="Hyperlink"/>
            <w:rFonts w:cstheme="majorHAnsi"/>
            <w:noProof/>
          </w:rPr>
          <w:t>6.2.3.3.</w:t>
        </w:r>
        <w:r>
          <w:rPr>
            <w:noProof/>
            <w:kern w:val="2"/>
            <w:sz w:val="24"/>
            <w:szCs w:val="24"/>
            <w14:ligatures w14:val="standardContextual"/>
          </w:rPr>
          <w:tab/>
        </w:r>
        <w:r w:rsidRPr="00377DC8">
          <w:rPr>
            <w:rStyle w:val="Hyperlink"/>
            <w:rFonts w:cstheme="majorHAnsi"/>
            <w:noProof/>
          </w:rPr>
          <w:t>Cost-to-Capacity Method</w:t>
        </w:r>
        <w:r>
          <w:rPr>
            <w:noProof/>
            <w:webHidden/>
          </w:rPr>
          <w:tab/>
        </w:r>
        <w:r>
          <w:rPr>
            <w:noProof/>
            <w:webHidden/>
          </w:rPr>
          <w:fldChar w:fldCharType="begin"/>
        </w:r>
        <w:r>
          <w:rPr>
            <w:noProof/>
            <w:webHidden/>
          </w:rPr>
          <w:instrText xml:space="preserve"> PAGEREF _Toc213491730 \h </w:instrText>
        </w:r>
        <w:r>
          <w:rPr>
            <w:noProof/>
            <w:webHidden/>
          </w:rPr>
        </w:r>
        <w:r>
          <w:rPr>
            <w:noProof/>
            <w:webHidden/>
          </w:rPr>
          <w:fldChar w:fldCharType="separate"/>
        </w:r>
        <w:r>
          <w:rPr>
            <w:noProof/>
            <w:webHidden/>
          </w:rPr>
          <w:t>25</w:t>
        </w:r>
        <w:r>
          <w:rPr>
            <w:noProof/>
            <w:webHidden/>
          </w:rPr>
          <w:fldChar w:fldCharType="end"/>
        </w:r>
      </w:hyperlink>
    </w:p>
    <w:p w14:paraId="5D8C249B" w14:textId="318C64C5" w:rsidR="00047DE4" w:rsidRDefault="00047DE4">
      <w:pPr>
        <w:pStyle w:val="TOC1"/>
        <w:tabs>
          <w:tab w:val="left" w:pos="440"/>
          <w:tab w:val="right" w:leader="dot" w:pos="8630"/>
        </w:tabs>
        <w:rPr>
          <w:noProof/>
          <w:kern w:val="2"/>
          <w:sz w:val="24"/>
          <w:szCs w:val="24"/>
          <w14:ligatures w14:val="standardContextual"/>
        </w:rPr>
      </w:pPr>
      <w:hyperlink w:anchor="_Toc213491731" w:history="1">
        <w:r w:rsidRPr="00377DC8">
          <w:rPr>
            <w:rStyle w:val="Hyperlink"/>
            <w:rFonts w:cstheme="majorHAnsi"/>
            <w:noProof/>
          </w:rPr>
          <w:t>7.</w:t>
        </w:r>
        <w:r>
          <w:rPr>
            <w:noProof/>
            <w:kern w:val="2"/>
            <w:sz w:val="24"/>
            <w:szCs w:val="24"/>
            <w14:ligatures w14:val="standardContextual"/>
          </w:rPr>
          <w:tab/>
        </w:r>
        <w:r w:rsidRPr="00377DC8">
          <w:rPr>
            <w:rStyle w:val="Hyperlink"/>
            <w:rFonts w:cstheme="majorHAnsi"/>
            <w:noProof/>
          </w:rPr>
          <w:t>Disclosures</w:t>
        </w:r>
        <w:r>
          <w:rPr>
            <w:noProof/>
            <w:webHidden/>
          </w:rPr>
          <w:tab/>
        </w:r>
        <w:r>
          <w:rPr>
            <w:noProof/>
            <w:webHidden/>
          </w:rPr>
          <w:fldChar w:fldCharType="begin"/>
        </w:r>
        <w:r>
          <w:rPr>
            <w:noProof/>
            <w:webHidden/>
          </w:rPr>
          <w:instrText xml:space="preserve"> PAGEREF _Toc213491731 \h </w:instrText>
        </w:r>
        <w:r>
          <w:rPr>
            <w:noProof/>
            <w:webHidden/>
          </w:rPr>
        </w:r>
        <w:r>
          <w:rPr>
            <w:noProof/>
            <w:webHidden/>
          </w:rPr>
          <w:fldChar w:fldCharType="separate"/>
        </w:r>
        <w:r>
          <w:rPr>
            <w:noProof/>
            <w:webHidden/>
          </w:rPr>
          <w:t>28</w:t>
        </w:r>
        <w:r>
          <w:rPr>
            <w:noProof/>
            <w:webHidden/>
          </w:rPr>
          <w:fldChar w:fldCharType="end"/>
        </w:r>
      </w:hyperlink>
    </w:p>
    <w:p w14:paraId="64652779" w14:textId="695F3458" w:rsidR="00047DE4" w:rsidRDefault="00047DE4">
      <w:pPr>
        <w:pStyle w:val="TOC1"/>
        <w:tabs>
          <w:tab w:val="left" w:pos="440"/>
          <w:tab w:val="right" w:leader="dot" w:pos="8630"/>
        </w:tabs>
        <w:rPr>
          <w:noProof/>
          <w:kern w:val="2"/>
          <w:sz w:val="24"/>
          <w:szCs w:val="24"/>
          <w14:ligatures w14:val="standardContextual"/>
        </w:rPr>
      </w:pPr>
      <w:hyperlink w:anchor="_Toc213491732" w:history="1">
        <w:r w:rsidRPr="00377DC8">
          <w:rPr>
            <w:rStyle w:val="Hyperlink"/>
            <w:rFonts w:cstheme="majorHAnsi"/>
            <w:noProof/>
          </w:rPr>
          <w:t>8.</w:t>
        </w:r>
        <w:r>
          <w:rPr>
            <w:noProof/>
            <w:kern w:val="2"/>
            <w:sz w:val="24"/>
            <w:szCs w:val="24"/>
            <w14:ligatures w14:val="standardContextual"/>
          </w:rPr>
          <w:tab/>
        </w:r>
        <w:r w:rsidRPr="00377DC8">
          <w:rPr>
            <w:rStyle w:val="Hyperlink"/>
            <w:rFonts w:cstheme="majorHAnsi"/>
            <w:noProof/>
          </w:rPr>
          <w:t>Defined Terms</w:t>
        </w:r>
        <w:r>
          <w:rPr>
            <w:noProof/>
            <w:webHidden/>
          </w:rPr>
          <w:tab/>
        </w:r>
        <w:r>
          <w:rPr>
            <w:noProof/>
            <w:webHidden/>
          </w:rPr>
          <w:fldChar w:fldCharType="begin"/>
        </w:r>
        <w:r>
          <w:rPr>
            <w:noProof/>
            <w:webHidden/>
          </w:rPr>
          <w:instrText xml:space="preserve"> PAGEREF _Toc213491732 \h </w:instrText>
        </w:r>
        <w:r>
          <w:rPr>
            <w:noProof/>
            <w:webHidden/>
          </w:rPr>
        </w:r>
        <w:r>
          <w:rPr>
            <w:noProof/>
            <w:webHidden/>
          </w:rPr>
          <w:fldChar w:fldCharType="separate"/>
        </w:r>
        <w:r>
          <w:rPr>
            <w:noProof/>
            <w:webHidden/>
          </w:rPr>
          <w:t>31</w:t>
        </w:r>
        <w:r>
          <w:rPr>
            <w:noProof/>
            <w:webHidden/>
          </w:rPr>
          <w:fldChar w:fldCharType="end"/>
        </w:r>
      </w:hyperlink>
    </w:p>
    <w:p w14:paraId="0DA9AB28" w14:textId="7204DEE0" w:rsidR="00974FB1" w:rsidRDefault="00373D98" w:rsidP="00D150D5">
      <w:pPr>
        <w:jc w:val="both"/>
        <w:rPr>
          <w:rFonts w:asciiTheme="majorHAnsi" w:hAnsiTheme="majorHAnsi" w:cstheme="majorHAnsi"/>
        </w:rPr>
      </w:pPr>
      <w:r>
        <w:rPr>
          <w:rFonts w:asciiTheme="majorHAnsi" w:hAnsiTheme="majorHAnsi" w:cstheme="majorHAnsi"/>
        </w:rPr>
        <w:fldChar w:fldCharType="end"/>
      </w:r>
    </w:p>
    <w:p w14:paraId="3FE7352E" w14:textId="77777777" w:rsidR="00974FB1" w:rsidRDefault="00974FB1">
      <w:pPr>
        <w:rPr>
          <w:rFonts w:asciiTheme="majorHAnsi" w:hAnsiTheme="majorHAnsi" w:cstheme="majorHAnsi"/>
        </w:rPr>
      </w:pPr>
      <w:r>
        <w:rPr>
          <w:rFonts w:asciiTheme="majorHAnsi" w:hAnsiTheme="majorHAnsi" w:cstheme="majorHAnsi"/>
        </w:rPr>
        <w:br w:type="page"/>
      </w:r>
    </w:p>
    <w:p w14:paraId="04D05EE8" w14:textId="565A5B64" w:rsidR="002F1680" w:rsidRPr="00047DE4" w:rsidRDefault="00E463A3" w:rsidP="2F092275">
      <w:pPr>
        <w:pStyle w:val="Heading1"/>
        <w:numPr>
          <w:ilvl w:val="0"/>
          <w:numId w:val="15"/>
        </w:numPr>
      </w:pPr>
      <w:bookmarkStart w:id="2" w:name="_Toc213491707"/>
      <w:r w:rsidRPr="00A11090">
        <w:lastRenderedPageBreak/>
        <w:t xml:space="preserve">Preamble </w:t>
      </w:r>
      <w:bookmarkEnd w:id="2"/>
    </w:p>
    <w:p w14:paraId="48D59EA8" w14:textId="034416E1" w:rsidR="002F1680" w:rsidRPr="00373D98" w:rsidRDefault="00AF1CEF" w:rsidP="00706A0C">
      <w:pPr>
        <w:jc w:val="both"/>
        <w:rPr>
          <w:rFonts w:asciiTheme="majorHAnsi" w:hAnsiTheme="majorHAnsi" w:cstheme="majorHAnsi"/>
        </w:rPr>
      </w:pPr>
      <w:r w:rsidRPr="00373D98">
        <w:rPr>
          <w:rFonts w:asciiTheme="majorHAnsi" w:hAnsiTheme="majorHAnsi" w:cstheme="majorHAnsi"/>
        </w:rPr>
        <w:br/>
        <w:t xml:space="preserve">This guideline provides a framework for determining the fair value of Property, Plant and Equipment (PPE) and Investment Property in accordance with </w:t>
      </w:r>
      <w:r w:rsidR="001E28CB" w:rsidRPr="001E28CB">
        <w:rPr>
          <w:rFonts w:asciiTheme="majorHAnsi" w:hAnsiTheme="majorHAnsi" w:cstheme="majorHAnsi"/>
        </w:rPr>
        <w:t>IFRS Accounting Standard</w:t>
      </w:r>
      <w:r w:rsidR="001E28CB" w:rsidRPr="001E28CB" w:rsidDel="001E28CB">
        <w:rPr>
          <w:rFonts w:asciiTheme="majorHAnsi" w:hAnsiTheme="majorHAnsi" w:cstheme="majorHAnsi"/>
        </w:rPr>
        <w:t xml:space="preserve"> </w:t>
      </w:r>
      <w:r w:rsidRPr="00373D98">
        <w:rPr>
          <w:rFonts w:asciiTheme="majorHAnsi" w:hAnsiTheme="majorHAnsi" w:cstheme="majorHAnsi"/>
        </w:rPr>
        <w:t xml:space="preserve">and International Valuation Standards (IVS). It aims to promote consistency, transparency, and reliability in valuations undertaken for financial reporting in the Maldives. </w:t>
      </w:r>
      <w:r w:rsidR="001E28CB">
        <w:rPr>
          <w:rFonts w:asciiTheme="majorHAnsi" w:hAnsiTheme="majorHAnsi" w:cstheme="majorHAnsi"/>
        </w:rPr>
        <w:t xml:space="preserve"> </w:t>
      </w:r>
      <w:r w:rsidRPr="00373D98">
        <w:rPr>
          <w:rFonts w:asciiTheme="majorHAnsi" w:hAnsiTheme="majorHAnsi" w:cstheme="majorHAnsi"/>
        </w:rPr>
        <w:br/>
      </w:r>
    </w:p>
    <w:p w14:paraId="46346B99" w14:textId="1131A258" w:rsidR="002F1680" w:rsidRPr="00373D98" w:rsidRDefault="00AF1CEF" w:rsidP="0033605E">
      <w:pPr>
        <w:pStyle w:val="Heading1"/>
        <w:numPr>
          <w:ilvl w:val="0"/>
          <w:numId w:val="15"/>
        </w:numPr>
        <w:rPr>
          <w:rFonts w:cstheme="majorHAnsi"/>
        </w:rPr>
      </w:pPr>
      <w:bookmarkStart w:id="3" w:name="_Toc213491708"/>
      <w:r w:rsidRPr="00373D98">
        <w:rPr>
          <w:rFonts w:cstheme="majorHAnsi"/>
        </w:rPr>
        <w:t>Objective and Scope</w:t>
      </w:r>
      <w:bookmarkEnd w:id="3"/>
    </w:p>
    <w:p w14:paraId="64109AE1" w14:textId="42B0065D" w:rsidR="002F1680" w:rsidRPr="00373D98" w:rsidRDefault="00AF1CEF" w:rsidP="00706A0C">
      <w:pPr>
        <w:jc w:val="both"/>
        <w:rPr>
          <w:rFonts w:asciiTheme="majorHAnsi" w:hAnsiTheme="majorHAnsi" w:cstheme="majorHAnsi"/>
        </w:rPr>
      </w:pPr>
      <w:r w:rsidRPr="00373D98">
        <w:rPr>
          <w:rFonts w:asciiTheme="majorHAnsi" w:hAnsiTheme="majorHAnsi" w:cstheme="majorHAnsi"/>
        </w:rPr>
        <w:br/>
        <w:t>The purpose of this guideline is to assist accountants, auditors, and valuation professionals in applying IFRS 13 and IVS 300</w:t>
      </w:r>
      <w:r w:rsidR="00F11FBE">
        <w:rPr>
          <w:rFonts w:asciiTheme="majorHAnsi" w:hAnsiTheme="majorHAnsi" w:cstheme="majorHAnsi"/>
        </w:rPr>
        <w:t xml:space="preserve"> and</w:t>
      </w:r>
      <w:r w:rsidRPr="00373D98">
        <w:rPr>
          <w:rFonts w:asciiTheme="majorHAnsi" w:hAnsiTheme="majorHAnsi" w:cstheme="majorHAnsi"/>
        </w:rPr>
        <w:t xml:space="preserve"> 400 when valuing property, plant, and equipment (PPE) and investment property for financial reporting in the Maldives. It applies to entities across sectors, including tourism, commercial, industrial, and public infrastructure.</w:t>
      </w:r>
      <w:r w:rsidR="00706A0C" w:rsidRPr="00373D98">
        <w:rPr>
          <w:rFonts w:asciiTheme="majorHAnsi" w:hAnsiTheme="majorHAnsi" w:cstheme="majorHAnsi"/>
        </w:rPr>
        <w:tab/>
      </w:r>
      <w:r w:rsidRPr="00373D98">
        <w:rPr>
          <w:rFonts w:asciiTheme="majorHAnsi" w:hAnsiTheme="majorHAnsi" w:cstheme="majorHAnsi"/>
        </w:rPr>
        <w:br/>
      </w:r>
    </w:p>
    <w:p w14:paraId="6C12A2D2" w14:textId="52E111F6" w:rsidR="002F1680" w:rsidRPr="00373D98" w:rsidRDefault="00AF1CEF" w:rsidP="0033605E">
      <w:pPr>
        <w:pStyle w:val="Heading1"/>
        <w:numPr>
          <w:ilvl w:val="0"/>
          <w:numId w:val="15"/>
        </w:numPr>
        <w:rPr>
          <w:rFonts w:cstheme="majorHAnsi"/>
        </w:rPr>
      </w:pPr>
      <w:bookmarkStart w:id="4" w:name="_Toc213491709"/>
      <w:r w:rsidRPr="00373D98">
        <w:rPr>
          <w:rFonts w:cstheme="majorHAnsi"/>
        </w:rPr>
        <w:t>Governing Standards and Hierarchy</w:t>
      </w:r>
      <w:bookmarkEnd w:id="4"/>
    </w:p>
    <w:p w14:paraId="3E52973F" w14:textId="77777777" w:rsidR="00373D98" w:rsidRDefault="00AF1CEF">
      <w:pPr>
        <w:rPr>
          <w:rFonts w:asciiTheme="majorHAnsi" w:hAnsiTheme="majorHAnsi" w:cstheme="majorHAnsi"/>
        </w:rPr>
      </w:pPr>
      <w:r w:rsidRPr="00373D98">
        <w:rPr>
          <w:rFonts w:asciiTheme="majorHAnsi" w:hAnsiTheme="majorHAnsi" w:cstheme="majorHAnsi"/>
        </w:rPr>
        <w:br/>
        <w:t>The valuation process must comply with the following hierarchy of standards:</w:t>
      </w:r>
    </w:p>
    <w:p w14:paraId="7ADA17D2" w14:textId="77777777" w:rsidR="00373D98" w:rsidRDefault="00AF1CEF" w:rsidP="00373D98">
      <w:pPr>
        <w:pStyle w:val="ListParagraph"/>
        <w:numPr>
          <w:ilvl w:val="0"/>
          <w:numId w:val="74"/>
        </w:numPr>
        <w:rPr>
          <w:rFonts w:asciiTheme="majorHAnsi" w:hAnsiTheme="majorHAnsi" w:cstheme="majorHAnsi"/>
        </w:rPr>
      </w:pPr>
      <w:r w:rsidRPr="00373D98">
        <w:rPr>
          <w:rFonts w:asciiTheme="majorHAnsi" w:hAnsiTheme="majorHAnsi" w:cstheme="majorHAnsi"/>
        </w:rPr>
        <w:t>IFRS 13 – Fair Value Measurement (defines fair value and disclosure)</w:t>
      </w:r>
    </w:p>
    <w:p w14:paraId="1BE38BCC" w14:textId="77777777" w:rsidR="00373D98" w:rsidRDefault="00AF1CEF" w:rsidP="00373D98">
      <w:pPr>
        <w:pStyle w:val="ListParagraph"/>
        <w:numPr>
          <w:ilvl w:val="0"/>
          <w:numId w:val="74"/>
        </w:numPr>
        <w:rPr>
          <w:rFonts w:asciiTheme="majorHAnsi" w:hAnsiTheme="majorHAnsi" w:cstheme="majorHAnsi"/>
        </w:rPr>
      </w:pPr>
      <w:r w:rsidRPr="00373D98">
        <w:rPr>
          <w:rFonts w:asciiTheme="majorHAnsi" w:hAnsiTheme="majorHAnsi" w:cstheme="majorHAnsi"/>
        </w:rPr>
        <w:t>IAS 16 – Property, Plant and Equipment</w:t>
      </w:r>
    </w:p>
    <w:p w14:paraId="29737BF6" w14:textId="77777777" w:rsidR="00373D98" w:rsidRDefault="00AF1CEF" w:rsidP="00373D98">
      <w:pPr>
        <w:pStyle w:val="ListParagraph"/>
        <w:numPr>
          <w:ilvl w:val="0"/>
          <w:numId w:val="74"/>
        </w:numPr>
        <w:rPr>
          <w:rFonts w:asciiTheme="majorHAnsi" w:hAnsiTheme="majorHAnsi" w:cstheme="majorHAnsi"/>
        </w:rPr>
      </w:pPr>
      <w:r w:rsidRPr="00373D98">
        <w:rPr>
          <w:rFonts w:asciiTheme="majorHAnsi" w:hAnsiTheme="majorHAnsi" w:cstheme="majorHAnsi"/>
        </w:rPr>
        <w:t>IAS 40 – Investment Property</w:t>
      </w:r>
    </w:p>
    <w:p w14:paraId="3C3C1758" w14:textId="77777777" w:rsidR="00373D98" w:rsidRDefault="00AF1CEF" w:rsidP="00373D98">
      <w:pPr>
        <w:pStyle w:val="ListParagraph"/>
        <w:numPr>
          <w:ilvl w:val="0"/>
          <w:numId w:val="74"/>
        </w:numPr>
        <w:rPr>
          <w:rFonts w:asciiTheme="majorHAnsi" w:hAnsiTheme="majorHAnsi" w:cstheme="majorHAnsi"/>
        </w:rPr>
      </w:pPr>
      <w:r w:rsidRPr="00373D98">
        <w:rPr>
          <w:rFonts w:asciiTheme="majorHAnsi" w:hAnsiTheme="majorHAnsi" w:cstheme="majorHAnsi"/>
        </w:rPr>
        <w:t>IVS 300 – Valuations for Financial Reporting</w:t>
      </w:r>
    </w:p>
    <w:p w14:paraId="78A7B31F" w14:textId="77777777" w:rsidR="00373D98" w:rsidRDefault="00AF1CEF" w:rsidP="00373D98">
      <w:pPr>
        <w:pStyle w:val="ListParagraph"/>
        <w:numPr>
          <w:ilvl w:val="0"/>
          <w:numId w:val="74"/>
        </w:numPr>
        <w:rPr>
          <w:rFonts w:asciiTheme="majorHAnsi" w:hAnsiTheme="majorHAnsi" w:cstheme="majorHAnsi"/>
        </w:rPr>
      </w:pPr>
      <w:r w:rsidRPr="00373D98">
        <w:rPr>
          <w:rFonts w:asciiTheme="majorHAnsi" w:hAnsiTheme="majorHAnsi" w:cstheme="majorHAnsi"/>
        </w:rPr>
        <w:t>IVS 400 – Real Property Interests</w:t>
      </w:r>
    </w:p>
    <w:p w14:paraId="21FD4083" w14:textId="662E6FE1" w:rsidR="00F4087B" w:rsidRPr="00373D98" w:rsidRDefault="00AF1CEF" w:rsidP="00A11090">
      <w:pPr>
        <w:pStyle w:val="ListParagraph"/>
        <w:rPr>
          <w:rFonts w:asciiTheme="majorHAnsi" w:hAnsiTheme="majorHAnsi" w:cstheme="majorBidi"/>
        </w:rPr>
      </w:pPr>
      <w:r>
        <w:br/>
      </w:r>
    </w:p>
    <w:p w14:paraId="7D412D69" w14:textId="77777777" w:rsidR="00F4087B" w:rsidRPr="00373D98" w:rsidRDefault="00F4087B">
      <w:pPr>
        <w:rPr>
          <w:rFonts w:asciiTheme="majorHAnsi" w:hAnsiTheme="majorHAnsi" w:cstheme="majorHAnsi"/>
        </w:rPr>
      </w:pPr>
      <w:r w:rsidRPr="00373D98">
        <w:rPr>
          <w:rFonts w:asciiTheme="majorHAnsi" w:hAnsiTheme="majorHAnsi" w:cstheme="majorHAnsi"/>
        </w:rPr>
        <w:br w:type="page"/>
      </w:r>
    </w:p>
    <w:p w14:paraId="0BA09C90" w14:textId="490B64C5" w:rsidR="002F1680" w:rsidRPr="00373D98" w:rsidRDefault="00AF1CEF" w:rsidP="0033605E">
      <w:pPr>
        <w:pStyle w:val="Heading1"/>
        <w:numPr>
          <w:ilvl w:val="0"/>
          <w:numId w:val="15"/>
        </w:numPr>
        <w:rPr>
          <w:rFonts w:cstheme="majorHAnsi"/>
        </w:rPr>
      </w:pPr>
      <w:bookmarkStart w:id="5" w:name="_Toc213491710"/>
      <w:r w:rsidRPr="00373D98">
        <w:rPr>
          <w:rFonts w:cstheme="majorHAnsi"/>
        </w:rPr>
        <w:lastRenderedPageBreak/>
        <w:t>Fair Value</w:t>
      </w:r>
      <w:bookmarkEnd w:id="5"/>
    </w:p>
    <w:p w14:paraId="0BD6DFE5" w14:textId="196A0945" w:rsidR="00F4087B" w:rsidRPr="00373D98" w:rsidRDefault="00F4087B" w:rsidP="00F4087B">
      <w:pPr>
        <w:pStyle w:val="Heading2"/>
        <w:numPr>
          <w:ilvl w:val="1"/>
          <w:numId w:val="15"/>
        </w:numPr>
        <w:spacing w:after="240"/>
        <w:ind w:left="900" w:hanging="540"/>
        <w:rPr>
          <w:rFonts w:cstheme="majorHAnsi"/>
        </w:rPr>
      </w:pPr>
      <w:bookmarkStart w:id="6" w:name="_Toc213491711"/>
      <w:r w:rsidRPr="00373D98">
        <w:rPr>
          <w:rFonts w:cstheme="majorHAnsi"/>
        </w:rPr>
        <w:t>The fair value measurement framework in IFRS 13</w:t>
      </w:r>
      <w:bookmarkEnd w:id="6"/>
    </w:p>
    <w:p w14:paraId="4EFD9423" w14:textId="473D38E1" w:rsidR="00F4087B" w:rsidRPr="00373D98" w:rsidRDefault="00F4087B" w:rsidP="00F4087B">
      <w:pPr>
        <w:spacing w:after="0"/>
        <w:jc w:val="both"/>
        <w:rPr>
          <w:rFonts w:asciiTheme="majorHAnsi" w:hAnsiTheme="majorHAnsi" w:cstheme="majorHAnsi"/>
          <w:color w:val="000000"/>
          <w:spacing w:val="-1"/>
        </w:rPr>
      </w:pPr>
      <w:r w:rsidRPr="00373D98">
        <w:rPr>
          <w:rFonts w:asciiTheme="majorHAnsi" w:hAnsiTheme="majorHAnsi" w:cstheme="majorHAnsi"/>
          <w:color w:val="000000"/>
          <w:spacing w:val="-1"/>
        </w:rPr>
        <w:t xml:space="preserve">The objective of a fair value measurement is “to estimate the price at which an orderly transaction to sell the asset or to transfer the liability would take place between market participants at the measurement date under current market conditions”. Considering the objective, when measuring fair value, an entity must determine </w:t>
      </w:r>
      <w:proofErr w:type="gramStart"/>
      <w:r w:rsidRPr="00373D98">
        <w:rPr>
          <w:rFonts w:asciiTheme="majorHAnsi" w:hAnsiTheme="majorHAnsi" w:cstheme="majorHAnsi"/>
          <w:color w:val="000000"/>
          <w:spacing w:val="-1"/>
        </w:rPr>
        <w:t>all of</w:t>
      </w:r>
      <w:proofErr w:type="gramEnd"/>
      <w:r w:rsidRPr="00373D98">
        <w:rPr>
          <w:rFonts w:asciiTheme="majorHAnsi" w:hAnsiTheme="majorHAnsi" w:cstheme="majorHAnsi"/>
          <w:color w:val="000000"/>
          <w:spacing w:val="-1"/>
        </w:rPr>
        <w:t xml:space="preserve"> the following with regards to the property, plant &amp; equipment and Investment Properties. </w:t>
      </w:r>
    </w:p>
    <w:p w14:paraId="7128DEE0" w14:textId="31F957FB" w:rsidR="00F4087B" w:rsidRPr="00373D98" w:rsidRDefault="00F4087B" w:rsidP="00F4087B">
      <w:pPr>
        <w:spacing w:after="0"/>
        <w:jc w:val="both"/>
        <w:rPr>
          <w:rFonts w:asciiTheme="majorHAnsi" w:hAnsiTheme="majorHAnsi" w:cstheme="majorHAnsi"/>
          <w:color w:val="000000"/>
          <w:spacing w:val="-1"/>
        </w:rPr>
      </w:pPr>
    </w:p>
    <w:p w14:paraId="47FB2140" w14:textId="07692AAD" w:rsidR="00F4087B" w:rsidRPr="00373D98" w:rsidRDefault="00F4087B" w:rsidP="00F4087B">
      <w:pPr>
        <w:numPr>
          <w:ilvl w:val="0"/>
          <w:numId w:val="57"/>
        </w:numPr>
        <w:spacing w:after="0" w:line="278" w:lineRule="auto"/>
        <w:jc w:val="both"/>
        <w:rPr>
          <w:rFonts w:asciiTheme="majorHAnsi" w:hAnsiTheme="majorHAnsi" w:cstheme="majorHAnsi"/>
          <w:color w:val="000000"/>
          <w:spacing w:val="-1"/>
        </w:rPr>
      </w:pPr>
      <w:r w:rsidRPr="00373D98">
        <w:rPr>
          <w:rFonts w:asciiTheme="majorHAnsi" w:hAnsiTheme="majorHAnsi" w:cstheme="majorHAnsi"/>
          <w:color w:val="000000"/>
          <w:spacing w:val="-1"/>
        </w:rPr>
        <w:t xml:space="preserve">The particular asset that is the subject of the measurement </w:t>
      </w:r>
    </w:p>
    <w:p w14:paraId="0837610E" w14:textId="1AEC16AE" w:rsidR="00F4087B" w:rsidRPr="00373D98" w:rsidRDefault="00F4087B" w:rsidP="00F4087B">
      <w:pPr>
        <w:numPr>
          <w:ilvl w:val="0"/>
          <w:numId w:val="57"/>
        </w:numPr>
        <w:spacing w:after="0" w:line="278" w:lineRule="auto"/>
        <w:jc w:val="both"/>
        <w:rPr>
          <w:rFonts w:asciiTheme="majorHAnsi" w:hAnsiTheme="majorHAnsi" w:cstheme="majorHAnsi"/>
          <w:color w:val="000000"/>
          <w:spacing w:val="-1"/>
        </w:rPr>
      </w:pPr>
      <w:r w:rsidRPr="00373D98">
        <w:rPr>
          <w:rFonts w:asciiTheme="majorHAnsi" w:hAnsiTheme="majorHAnsi" w:cstheme="majorHAnsi"/>
          <w:color w:val="000000"/>
          <w:spacing w:val="-1"/>
        </w:rPr>
        <w:t>For a non-financial asset, the valuation premise that is appropriate for the measurement</w:t>
      </w:r>
    </w:p>
    <w:p w14:paraId="4F931088" w14:textId="1730DD7F" w:rsidR="00F4087B" w:rsidRPr="00373D98" w:rsidRDefault="00F4087B" w:rsidP="00F4087B">
      <w:pPr>
        <w:numPr>
          <w:ilvl w:val="0"/>
          <w:numId w:val="57"/>
        </w:numPr>
        <w:spacing w:after="0" w:line="278" w:lineRule="auto"/>
        <w:jc w:val="both"/>
        <w:rPr>
          <w:rFonts w:asciiTheme="majorHAnsi" w:hAnsiTheme="majorHAnsi" w:cstheme="majorHAnsi"/>
          <w:color w:val="000000"/>
          <w:spacing w:val="-1"/>
        </w:rPr>
      </w:pPr>
      <w:r w:rsidRPr="00373D98">
        <w:rPr>
          <w:rFonts w:asciiTheme="majorHAnsi" w:hAnsiTheme="majorHAnsi" w:cstheme="majorHAnsi"/>
          <w:color w:val="000000"/>
          <w:spacing w:val="-1"/>
        </w:rPr>
        <w:t>The principal (or most advantageous) market for the asset</w:t>
      </w:r>
    </w:p>
    <w:p w14:paraId="57EDFEF5" w14:textId="1EFAE7A8" w:rsidR="00F4087B" w:rsidRPr="00373D98" w:rsidRDefault="00F4087B" w:rsidP="00F4087B">
      <w:pPr>
        <w:numPr>
          <w:ilvl w:val="0"/>
          <w:numId w:val="57"/>
        </w:numPr>
        <w:spacing w:after="0" w:line="278" w:lineRule="auto"/>
        <w:jc w:val="both"/>
        <w:rPr>
          <w:rFonts w:asciiTheme="majorHAnsi" w:hAnsiTheme="majorHAnsi" w:cstheme="majorHAnsi"/>
          <w:color w:val="000000"/>
          <w:spacing w:val="-1"/>
        </w:rPr>
      </w:pPr>
      <w:r w:rsidRPr="00373D98">
        <w:rPr>
          <w:rFonts w:asciiTheme="majorHAnsi" w:hAnsiTheme="majorHAnsi" w:cstheme="majorHAnsi"/>
          <w:color w:val="000000"/>
          <w:spacing w:val="-1"/>
        </w:rPr>
        <w:t>The valuation techniques appropriate for the measurement, considering the availability of data with which to develop inputs that represent the assumptions that market participants would use when pricing the asset and the level of the fair value hierarchy within which the inputs are categorized</w:t>
      </w:r>
    </w:p>
    <w:p w14:paraId="605AD6C4" w14:textId="6E67BC8A" w:rsidR="00F4087B" w:rsidRPr="00373D98" w:rsidRDefault="00F4087B" w:rsidP="00F4087B">
      <w:pPr>
        <w:spacing w:after="0"/>
        <w:ind w:left="360"/>
        <w:jc w:val="both"/>
        <w:rPr>
          <w:rFonts w:asciiTheme="majorHAnsi" w:hAnsiTheme="majorHAnsi" w:cstheme="majorHAnsi"/>
          <w:color w:val="000000"/>
          <w:spacing w:val="-1"/>
        </w:rPr>
      </w:pPr>
    </w:p>
    <w:p w14:paraId="17EE0E46" w14:textId="31DDF0C5" w:rsidR="00F4087B" w:rsidRPr="00373D98" w:rsidRDefault="00F4087B" w:rsidP="00F4087B">
      <w:pPr>
        <w:spacing w:after="0"/>
        <w:ind w:left="360"/>
        <w:jc w:val="both"/>
        <w:rPr>
          <w:rFonts w:asciiTheme="majorHAnsi" w:hAnsiTheme="majorHAnsi" w:cstheme="majorHAnsi"/>
          <w:color w:val="000000"/>
          <w:spacing w:val="-1"/>
        </w:rPr>
      </w:pPr>
      <w:r w:rsidRPr="00373D98">
        <w:rPr>
          <w:rFonts w:asciiTheme="majorHAnsi" w:hAnsiTheme="majorHAnsi" w:cstheme="majorHAnsi"/>
          <w:color w:val="000000"/>
          <w:spacing w:val="-1"/>
        </w:rPr>
        <w:t xml:space="preserve">The following diagram illustrates our view of the interdependence of the various components of the fair value measurement framework in </w:t>
      </w:r>
      <w:proofErr w:type="gramStart"/>
      <w:r w:rsidRPr="00373D98">
        <w:rPr>
          <w:rFonts w:asciiTheme="majorHAnsi" w:hAnsiTheme="majorHAnsi" w:cstheme="majorHAnsi"/>
          <w:color w:val="000000"/>
          <w:spacing w:val="-1"/>
        </w:rPr>
        <w:t>IFRS;</w:t>
      </w:r>
      <w:proofErr w:type="gramEnd"/>
    </w:p>
    <w:p w14:paraId="0E2AB164" w14:textId="01A05CA1" w:rsidR="00F4087B" w:rsidRPr="00373D98" w:rsidRDefault="00F4087B" w:rsidP="00706A0C">
      <w:pPr>
        <w:rPr>
          <w:rFonts w:asciiTheme="majorHAnsi" w:hAnsiTheme="majorHAnsi" w:cstheme="majorHAnsi"/>
        </w:rPr>
      </w:pPr>
      <w:r w:rsidRPr="00373D98">
        <w:rPr>
          <w:rFonts w:asciiTheme="majorHAnsi" w:hAnsiTheme="majorHAnsi" w:cstheme="majorHAnsi"/>
          <w:noProof/>
          <w:color w:val="000000"/>
          <w:spacing w:val="-1"/>
        </w:rPr>
        <w:drawing>
          <wp:anchor distT="0" distB="0" distL="114300" distR="114300" simplePos="0" relativeHeight="251658240" behindDoc="0" locked="0" layoutInCell="1" allowOverlap="1" wp14:anchorId="07804BF7" wp14:editId="639B0C7D">
            <wp:simplePos x="0" y="0"/>
            <wp:positionH relativeFrom="column">
              <wp:posOffset>247650</wp:posOffset>
            </wp:positionH>
            <wp:positionV relativeFrom="paragraph">
              <wp:posOffset>76200</wp:posOffset>
            </wp:positionV>
            <wp:extent cx="4217927" cy="3593521"/>
            <wp:effectExtent l="0" t="0" r="0" b="0"/>
            <wp:wrapNone/>
            <wp:docPr id="716116260"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116260" name="Picture 1" descr="A diagram of a diagram&#10;&#10;AI-generated content may be incorrect."/>
                    <pic:cNvPicPr/>
                  </pic:nvPicPr>
                  <pic:blipFill rotWithShape="1">
                    <a:blip r:embed="rId11"/>
                    <a:srcRect l="6765"/>
                    <a:stretch>
                      <a:fillRect/>
                    </a:stretch>
                  </pic:blipFill>
                  <pic:spPr bwMode="auto">
                    <a:xfrm rot="16200000">
                      <a:off x="0" y="0"/>
                      <a:ext cx="4217927" cy="3593521"/>
                    </a:xfrm>
                    <a:prstGeom prst="rect">
                      <a:avLst/>
                    </a:prstGeom>
                    <a:ln>
                      <a:noFill/>
                    </a:ln>
                  </pic:spPr>
                </pic:pic>
              </a:graphicData>
            </a:graphic>
            <wp14:sizeRelH relativeFrom="margin">
              <wp14:pctWidth>0</wp14:pctWidth>
            </wp14:sizeRelH>
            <wp14:sizeRelV relativeFrom="margin">
              <wp14:pctHeight>0</wp14:pctHeight>
            </wp14:sizeRelV>
          </wp:anchor>
        </w:drawing>
      </w:r>
      <w:r w:rsidRPr="00373D98">
        <w:rPr>
          <w:rFonts w:asciiTheme="majorHAnsi" w:hAnsiTheme="majorHAnsi" w:cstheme="majorHAnsi"/>
        </w:rPr>
        <w:br/>
      </w:r>
    </w:p>
    <w:p w14:paraId="000E4391" w14:textId="77777777" w:rsidR="00F4087B" w:rsidRPr="00373D98" w:rsidRDefault="00F4087B">
      <w:pPr>
        <w:rPr>
          <w:rFonts w:asciiTheme="majorHAnsi" w:hAnsiTheme="majorHAnsi" w:cstheme="majorHAnsi"/>
        </w:rPr>
      </w:pPr>
      <w:r w:rsidRPr="00373D98">
        <w:rPr>
          <w:rFonts w:asciiTheme="majorHAnsi" w:hAnsiTheme="majorHAnsi" w:cstheme="majorHAnsi"/>
        </w:rPr>
        <w:br w:type="page"/>
      </w:r>
    </w:p>
    <w:p w14:paraId="7C698E81" w14:textId="77777777" w:rsidR="00F4087B" w:rsidRPr="00373D98" w:rsidRDefault="00F4087B" w:rsidP="00F4087B">
      <w:pPr>
        <w:pStyle w:val="Heading2"/>
        <w:numPr>
          <w:ilvl w:val="1"/>
          <w:numId w:val="15"/>
        </w:numPr>
        <w:spacing w:after="240"/>
        <w:ind w:left="990" w:hanging="630"/>
        <w:rPr>
          <w:rFonts w:cstheme="majorHAnsi"/>
        </w:rPr>
      </w:pPr>
      <w:bookmarkStart w:id="7" w:name="_Toc213491712"/>
      <w:r w:rsidRPr="00373D98">
        <w:rPr>
          <w:rFonts w:cstheme="majorHAnsi"/>
        </w:rPr>
        <w:lastRenderedPageBreak/>
        <w:t>The particular asset that is the subject of the measurement</w:t>
      </w:r>
      <w:bookmarkStart w:id="8" w:name="_Toc208818073"/>
      <w:bookmarkEnd w:id="7"/>
    </w:p>
    <w:p w14:paraId="1DC969B5" w14:textId="1E870926" w:rsidR="00F4087B" w:rsidRPr="00373D98" w:rsidRDefault="00F4087B" w:rsidP="00F4087B">
      <w:pPr>
        <w:spacing w:after="0"/>
        <w:jc w:val="both"/>
        <w:rPr>
          <w:rFonts w:asciiTheme="majorHAnsi" w:hAnsiTheme="majorHAnsi" w:cstheme="majorHAnsi"/>
          <w:color w:val="000000"/>
          <w:spacing w:val="-1"/>
        </w:rPr>
      </w:pPr>
      <w:r w:rsidRPr="00373D98">
        <w:rPr>
          <w:rFonts w:asciiTheme="majorHAnsi" w:hAnsiTheme="majorHAnsi" w:cstheme="majorHAnsi"/>
          <w:color w:val="000000"/>
          <w:spacing w:val="-1"/>
        </w:rPr>
        <w:t xml:space="preserve">The identification of exactly what asset or liability is being measured is fundamental to determining its fair value. Fair value may need to be measured for </w:t>
      </w:r>
      <w:proofErr w:type="gramStart"/>
      <w:r w:rsidRPr="00373D98">
        <w:rPr>
          <w:rFonts w:asciiTheme="majorHAnsi" w:hAnsiTheme="majorHAnsi" w:cstheme="majorHAnsi"/>
          <w:color w:val="000000"/>
          <w:spacing w:val="-1"/>
        </w:rPr>
        <w:t>either</w:t>
      </w:r>
      <w:r w:rsidR="004C1667">
        <w:rPr>
          <w:rFonts w:asciiTheme="majorHAnsi" w:hAnsiTheme="majorHAnsi" w:cstheme="majorHAnsi"/>
          <w:color w:val="000000"/>
          <w:spacing w:val="-1"/>
        </w:rPr>
        <w:t xml:space="preserve"> 1</w:t>
      </w:r>
      <w:proofErr w:type="gramEnd"/>
      <w:r w:rsidR="004C1667">
        <w:rPr>
          <w:rFonts w:asciiTheme="majorHAnsi" w:hAnsiTheme="majorHAnsi" w:cstheme="majorHAnsi"/>
          <w:color w:val="000000"/>
          <w:spacing w:val="-1"/>
        </w:rPr>
        <w:t xml:space="preserve">. A </w:t>
      </w:r>
      <w:proofErr w:type="spellStart"/>
      <w:proofErr w:type="gramStart"/>
      <w:r w:rsidR="004C1667">
        <w:rPr>
          <w:rFonts w:asciiTheme="majorHAnsi" w:hAnsiTheme="majorHAnsi" w:cstheme="majorHAnsi"/>
          <w:color w:val="000000"/>
          <w:spacing w:val="-1"/>
        </w:rPr>
        <w:t>stand alone</w:t>
      </w:r>
      <w:proofErr w:type="spellEnd"/>
      <w:proofErr w:type="gramEnd"/>
      <w:r w:rsidR="004C1667">
        <w:rPr>
          <w:rFonts w:asciiTheme="majorHAnsi" w:hAnsiTheme="majorHAnsi" w:cstheme="majorHAnsi"/>
          <w:color w:val="000000"/>
          <w:spacing w:val="-1"/>
        </w:rPr>
        <w:t xml:space="preserve"> asset or 2. A group of assets.</w:t>
      </w:r>
    </w:p>
    <w:p w14:paraId="52E91766" w14:textId="77777777" w:rsidR="00F4087B" w:rsidRPr="00373D98" w:rsidRDefault="00F4087B" w:rsidP="00F4087B">
      <w:pPr>
        <w:spacing w:after="0"/>
        <w:ind w:left="720"/>
        <w:jc w:val="both"/>
        <w:rPr>
          <w:rFonts w:asciiTheme="majorHAnsi" w:hAnsiTheme="majorHAnsi" w:cstheme="majorHAnsi"/>
          <w:color w:val="000000"/>
          <w:spacing w:val="-1"/>
        </w:rPr>
      </w:pPr>
    </w:p>
    <w:p w14:paraId="7EA4AD5D" w14:textId="77777777" w:rsidR="00F4087B" w:rsidRPr="00373D98" w:rsidRDefault="00F4087B" w:rsidP="00F4087B">
      <w:pPr>
        <w:spacing w:after="0"/>
        <w:jc w:val="both"/>
        <w:rPr>
          <w:rFonts w:asciiTheme="majorHAnsi" w:hAnsiTheme="majorHAnsi" w:cstheme="majorHAnsi"/>
          <w:b/>
          <w:bCs/>
          <w:color w:val="000000"/>
          <w:spacing w:val="-1"/>
        </w:rPr>
      </w:pPr>
      <w:r w:rsidRPr="00373D98">
        <w:rPr>
          <w:rFonts w:asciiTheme="majorHAnsi" w:hAnsiTheme="majorHAnsi" w:cstheme="majorHAnsi"/>
          <w:b/>
          <w:bCs/>
          <w:color w:val="000000"/>
          <w:spacing w:val="-1"/>
        </w:rPr>
        <w:t>Characteristics of the asset</w:t>
      </w:r>
    </w:p>
    <w:p w14:paraId="0E9BD0B5" w14:textId="2F4931E0" w:rsidR="00F4087B" w:rsidRPr="00373D98" w:rsidRDefault="00F4087B" w:rsidP="00F4087B">
      <w:pPr>
        <w:spacing w:after="0" w:line="240" w:lineRule="auto"/>
        <w:jc w:val="both"/>
        <w:rPr>
          <w:rFonts w:asciiTheme="majorHAnsi" w:hAnsiTheme="majorHAnsi" w:cstheme="majorHAnsi"/>
          <w:color w:val="000000"/>
          <w:spacing w:val="-1"/>
        </w:rPr>
      </w:pPr>
      <w:r w:rsidRPr="00373D98">
        <w:rPr>
          <w:rFonts w:asciiTheme="majorHAnsi" w:hAnsiTheme="majorHAnsi" w:cstheme="majorHAnsi"/>
          <w:color w:val="000000"/>
          <w:spacing w:val="-1"/>
        </w:rPr>
        <w:t>When measuring fair value, IFRS 13 requires an entity to consider the characteristics of the asset. Examples of such characteristics could include the condition and location of an asset, Restrictions, if any, on the sale or use of an asset .</w:t>
      </w:r>
    </w:p>
    <w:p w14:paraId="0AA2766A" w14:textId="77777777" w:rsidR="00F4087B" w:rsidRPr="00373D98" w:rsidRDefault="00F4087B" w:rsidP="00F4087B">
      <w:pPr>
        <w:spacing w:after="0" w:line="240" w:lineRule="auto"/>
        <w:jc w:val="both"/>
        <w:rPr>
          <w:rFonts w:asciiTheme="majorHAnsi" w:hAnsiTheme="majorHAnsi" w:cstheme="majorHAnsi"/>
          <w:color w:val="000000"/>
          <w:spacing w:val="-1"/>
        </w:rPr>
      </w:pPr>
    </w:p>
    <w:p w14:paraId="15A57F00" w14:textId="77777777" w:rsidR="00F4087B" w:rsidRPr="00373D98" w:rsidRDefault="00F4087B" w:rsidP="00F4087B">
      <w:pPr>
        <w:spacing w:after="0" w:line="240" w:lineRule="auto"/>
        <w:jc w:val="both"/>
        <w:rPr>
          <w:rFonts w:asciiTheme="majorHAnsi" w:hAnsiTheme="majorHAnsi" w:cstheme="majorHAnsi"/>
          <w:color w:val="000000"/>
          <w:spacing w:val="-1"/>
        </w:rPr>
      </w:pPr>
      <w:r w:rsidRPr="00373D98">
        <w:rPr>
          <w:rFonts w:asciiTheme="majorHAnsi" w:hAnsiTheme="majorHAnsi" w:cstheme="majorHAnsi"/>
          <w:color w:val="000000"/>
          <w:spacing w:val="-1"/>
        </w:rPr>
        <w:t xml:space="preserve">An asset may not be in the condition or location that market participants would require for its sale at an observable market price. </w:t>
      </w:r>
      <w:proofErr w:type="gramStart"/>
      <w:r w:rsidRPr="00373D98">
        <w:rPr>
          <w:rFonts w:asciiTheme="majorHAnsi" w:hAnsiTheme="majorHAnsi" w:cstheme="majorHAnsi"/>
          <w:color w:val="000000"/>
          <w:spacing w:val="-1"/>
        </w:rPr>
        <w:t>In order to</w:t>
      </w:r>
      <w:proofErr w:type="gramEnd"/>
      <w:r w:rsidRPr="00373D98">
        <w:rPr>
          <w:rFonts w:asciiTheme="majorHAnsi" w:hAnsiTheme="majorHAnsi" w:cstheme="majorHAnsi"/>
          <w:color w:val="000000"/>
          <w:spacing w:val="-1"/>
        </w:rPr>
        <w:t xml:space="preserve"> determine the fair value of the asset as it currently exists, the market price needs to be adjusted to the price market participants would be prepared to pay for the asset in its current condition and location. </w:t>
      </w:r>
    </w:p>
    <w:p w14:paraId="0905E936" w14:textId="77777777" w:rsidR="00F4087B" w:rsidRPr="00373D98" w:rsidRDefault="00F4087B" w:rsidP="00F4087B">
      <w:pPr>
        <w:spacing w:after="0" w:line="240" w:lineRule="auto"/>
        <w:jc w:val="both"/>
        <w:rPr>
          <w:rFonts w:asciiTheme="majorHAnsi" w:hAnsiTheme="majorHAnsi" w:cstheme="majorHAnsi"/>
          <w:color w:val="000000"/>
          <w:spacing w:val="-1"/>
        </w:rPr>
      </w:pPr>
    </w:p>
    <w:p w14:paraId="7537E660" w14:textId="260B31D9" w:rsidR="00996A82" w:rsidRDefault="00F4087B" w:rsidP="00F4087B">
      <w:pPr>
        <w:spacing w:after="0" w:line="240" w:lineRule="auto"/>
        <w:jc w:val="both"/>
        <w:rPr>
          <w:rFonts w:asciiTheme="majorHAnsi" w:hAnsiTheme="majorHAnsi" w:cstheme="majorHAnsi"/>
        </w:rPr>
      </w:pPr>
      <w:r w:rsidRPr="00373D98">
        <w:rPr>
          <w:rFonts w:asciiTheme="majorHAnsi" w:hAnsiTheme="majorHAnsi" w:cstheme="majorHAnsi"/>
          <w:color w:val="000000"/>
          <w:spacing w:val="-1"/>
        </w:rPr>
        <w:t>IFRS 13 indicates that the effect on fair value of a restriction on the sale or use of an asset will differ depending on whether the restriction is deemed to be a characteristic of the asset or the entity holding the asset. A restriction that would transfer with the asset in an assumed sale would generally be deemed a characteristic of the asset and, therefore, would likely be considered by market participants when pricing the asset. Conversely, a restriction that is specific to the entity holding the asset would not transfer with the asset in an assumed sale and, therefore, would not be considered when measuring fair value.</w:t>
      </w:r>
    </w:p>
    <w:p w14:paraId="3CA30522" w14:textId="77777777" w:rsidR="004A2843" w:rsidRDefault="004A2843" w:rsidP="00F4087B">
      <w:pPr>
        <w:spacing w:after="0" w:line="240" w:lineRule="auto"/>
        <w:jc w:val="both"/>
        <w:rPr>
          <w:rFonts w:asciiTheme="majorHAnsi" w:hAnsiTheme="majorHAnsi" w:cstheme="majorHAnsi"/>
        </w:rPr>
      </w:pPr>
    </w:p>
    <w:p w14:paraId="3A91B745" w14:textId="77777777" w:rsidR="00996A82" w:rsidRPr="00373D98" w:rsidRDefault="00996A82" w:rsidP="00996A82">
      <w:pPr>
        <w:spacing w:after="0"/>
        <w:jc w:val="both"/>
        <w:rPr>
          <w:rFonts w:asciiTheme="majorHAnsi" w:hAnsiTheme="majorHAnsi" w:cstheme="majorHAnsi"/>
          <w:b/>
          <w:bCs/>
          <w:color w:val="000000"/>
          <w:spacing w:val="-1"/>
        </w:rPr>
      </w:pPr>
      <w:r w:rsidRPr="00373D98">
        <w:rPr>
          <w:rFonts w:asciiTheme="majorHAnsi" w:hAnsiTheme="majorHAnsi" w:cstheme="majorHAnsi"/>
          <w:b/>
          <w:bCs/>
          <w:color w:val="000000"/>
          <w:spacing w:val="-1"/>
        </w:rPr>
        <w:t>Illustrative example</w:t>
      </w:r>
    </w:p>
    <w:p w14:paraId="2A92E040" w14:textId="77777777" w:rsidR="004A2843" w:rsidRPr="004A2843" w:rsidRDefault="004A2843" w:rsidP="00F4087B">
      <w:pPr>
        <w:spacing w:after="0" w:line="240" w:lineRule="auto"/>
        <w:jc w:val="both"/>
        <w:rPr>
          <w:rFonts w:asciiTheme="majorHAnsi" w:hAnsiTheme="majorHAnsi" w:cstheme="majorHAnsi"/>
          <w:color w:val="000000"/>
          <w:spacing w:val="-1"/>
        </w:rPr>
      </w:pPr>
    </w:p>
    <w:p w14:paraId="1317701E" w14:textId="77777777" w:rsidR="004A2843" w:rsidRPr="00A11090" w:rsidRDefault="004A2843" w:rsidP="004A2843">
      <w:pPr>
        <w:spacing w:after="0"/>
        <w:jc w:val="both"/>
        <w:rPr>
          <w:rFonts w:asciiTheme="majorHAnsi" w:hAnsiTheme="majorHAnsi" w:cstheme="majorHAnsi"/>
          <w:i/>
          <w:iCs/>
          <w:color w:val="000000"/>
          <w:spacing w:val="-1"/>
        </w:rPr>
      </w:pPr>
      <w:r w:rsidRPr="00A11090">
        <w:rPr>
          <w:rFonts w:asciiTheme="majorHAnsi" w:hAnsiTheme="majorHAnsi" w:cstheme="majorHAnsi"/>
          <w:i/>
          <w:iCs/>
          <w:color w:val="000000"/>
          <w:spacing w:val="-1"/>
        </w:rPr>
        <w:t xml:space="preserve">A company owns a manufacturing plant located in an industrial zone on the outskirts of a major city. The plant includes land, buildings, and specialized machinery used for producing automotive parts. The key characteristic of the asset is as </w:t>
      </w:r>
      <w:proofErr w:type="gramStart"/>
      <w:r w:rsidRPr="00A11090">
        <w:rPr>
          <w:rFonts w:asciiTheme="majorHAnsi" w:hAnsiTheme="majorHAnsi" w:cstheme="majorHAnsi"/>
          <w:i/>
          <w:iCs/>
          <w:color w:val="000000"/>
          <w:spacing w:val="-1"/>
        </w:rPr>
        <w:t>follows;</w:t>
      </w:r>
      <w:proofErr w:type="gramEnd"/>
      <w:r w:rsidRPr="00A11090">
        <w:rPr>
          <w:rFonts w:asciiTheme="majorHAnsi" w:hAnsiTheme="majorHAnsi" w:cstheme="majorHAnsi"/>
          <w:i/>
          <w:iCs/>
          <w:color w:val="000000"/>
          <w:spacing w:val="-1"/>
        </w:rPr>
        <w:t xml:space="preserve"> </w:t>
      </w:r>
    </w:p>
    <w:p w14:paraId="18B080AB" w14:textId="77777777" w:rsidR="004A2843" w:rsidRPr="00A11090" w:rsidRDefault="004A2843" w:rsidP="004A2843">
      <w:pPr>
        <w:pStyle w:val="ListParagraph"/>
        <w:spacing w:after="0"/>
        <w:jc w:val="both"/>
        <w:rPr>
          <w:rFonts w:asciiTheme="majorHAnsi" w:hAnsiTheme="majorHAnsi" w:cstheme="majorHAnsi"/>
          <w:i/>
          <w:iCs/>
          <w:color w:val="000000"/>
          <w:spacing w:val="-1"/>
        </w:rPr>
      </w:pPr>
    </w:p>
    <w:p w14:paraId="4644EDD2" w14:textId="77777777" w:rsidR="004A2843" w:rsidRPr="00A11090" w:rsidRDefault="004A2843" w:rsidP="004A2843">
      <w:pPr>
        <w:pStyle w:val="ListParagraph"/>
        <w:numPr>
          <w:ilvl w:val="0"/>
          <w:numId w:val="75"/>
        </w:numPr>
        <w:spacing w:after="0" w:line="278" w:lineRule="auto"/>
        <w:jc w:val="both"/>
        <w:rPr>
          <w:rFonts w:asciiTheme="majorHAnsi" w:hAnsiTheme="majorHAnsi" w:cstheme="majorHAnsi"/>
          <w:i/>
          <w:iCs/>
          <w:color w:val="000000"/>
          <w:spacing w:val="-1"/>
        </w:rPr>
      </w:pPr>
      <w:r w:rsidRPr="00A11090">
        <w:rPr>
          <w:rFonts w:asciiTheme="majorHAnsi" w:hAnsiTheme="majorHAnsi" w:cstheme="majorHAnsi"/>
          <w:i/>
          <w:iCs/>
          <w:color w:val="000000"/>
          <w:spacing w:val="-1"/>
        </w:rPr>
        <w:t>The plant is in an industrial zone with good access to highways and suppliers. This increases its marketability to other manufacturers.</w:t>
      </w:r>
    </w:p>
    <w:p w14:paraId="5D6478FD" w14:textId="77777777" w:rsidR="004A2843" w:rsidRPr="00A11090" w:rsidRDefault="004A2843" w:rsidP="004A2843">
      <w:pPr>
        <w:pStyle w:val="ListParagraph"/>
        <w:numPr>
          <w:ilvl w:val="0"/>
          <w:numId w:val="75"/>
        </w:numPr>
        <w:spacing w:after="0" w:line="278" w:lineRule="auto"/>
        <w:jc w:val="both"/>
        <w:rPr>
          <w:rFonts w:asciiTheme="majorHAnsi" w:hAnsiTheme="majorHAnsi" w:cstheme="majorHAnsi"/>
          <w:i/>
          <w:iCs/>
          <w:color w:val="000000"/>
          <w:spacing w:val="-1"/>
        </w:rPr>
      </w:pPr>
      <w:r w:rsidRPr="00A11090">
        <w:rPr>
          <w:rFonts w:asciiTheme="majorHAnsi" w:hAnsiTheme="majorHAnsi" w:cstheme="majorHAnsi"/>
          <w:i/>
          <w:iCs/>
          <w:color w:val="000000"/>
          <w:spacing w:val="-1"/>
        </w:rPr>
        <w:t>The building is 10 years old but well-maintained. Machinery is modern and fully operational.</w:t>
      </w:r>
    </w:p>
    <w:p w14:paraId="72826ABB" w14:textId="77777777" w:rsidR="004A2843" w:rsidRPr="00A11090" w:rsidRDefault="004A2843" w:rsidP="004A2843">
      <w:pPr>
        <w:pStyle w:val="ListParagraph"/>
        <w:numPr>
          <w:ilvl w:val="0"/>
          <w:numId w:val="75"/>
        </w:numPr>
        <w:spacing w:after="0" w:line="278" w:lineRule="auto"/>
        <w:jc w:val="both"/>
        <w:rPr>
          <w:rFonts w:asciiTheme="majorHAnsi" w:hAnsiTheme="majorHAnsi" w:cstheme="majorHAnsi"/>
          <w:i/>
          <w:iCs/>
          <w:color w:val="000000"/>
          <w:spacing w:val="-1"/>
        </w:rPr>
      </w:pPr>
      <w:r w:rsidRPr="00A11090">
        <w:rPr>
          <w:rFonts w:asciiTheme="majorHAnsi" w:hAnsiTheme="majorHAnsi" w:cstheme="majorHAnsi"/>
          <w:i/>
          <w:iCs/>
          <w:color w:val="000000"/>
          <w:spacing w:val="-1"/>
        </w:rPr>
        <w:t>The facility spans 50,000 sq. ft. with room for expansion, which adds value.</w:t>
      </w:r>
    </w:p>
    <w:p w14:paraId="10458C8F" w14:textId="77777777" w:rsidR="004A2843" w:rsidRPr="00A11090" w:rsidRDefault="004A2843" w:rsidP="004A2843">
      <w:pPr>
        <w:pStyle w:val="ListParagraph"/>
        <w:numPr>
          <w:ilvl w:val="0"/>
          <w:numId w:val="75"/>
        </w:numPr>
        <w:spacing w:after="0" w:line="278" w:lineRule="auto"/>
        <w:jc w:val="both"/>
        <w:rPr>
          <w:rFonts w:asciiTheme="majorHAnsi" w:hAnsiTheme="majorHAnsi" w:cstheme="majorHAnsi"/>
          <w:i/>
          <w:iCs/>
          <w:color w:val="000000"/>
          <w:spacing w:val="-1"/>
        </w:rPr>
      </w:pPr>
      <w:r w:rsidRPr="00A11090">
        <w:rPr>
          <w:rFonts w:asciiTheme="majorHAnsi" w:hAnsiTheme="majorHAnsi" w:cstheme="majorHAnsi"/>
          <w:i/>
          <w:iCs/>
          <w:color w:val="000000"/>
          <w:spacing w:val="-1"/>
        </w:rPr>
        <w:t>The company owns the land (freehold) and has all necessary permits for industrial use.</w:t>
      </w:r>
    </w:p>
    <w:p w14:paraId="572E10E8" w14:textId="77777777" w:rsidR="004A2843" w:rsidRPr="00A11090" w:rsidRDefault="004A2843" w:rsidP="004A2843">
      <w:pPr>
        <w:pStyle w:val="ListParagraph"/>
        <w:numPr>
          <w:ilvl w:val="0"/>
          <w:numId w:val="75"/>
        </w:numPr>
        <w:spacing w:after="0" w:line="278" w:lineRule="auto"/>
        <w:jc w:val="both"/>
        <w:rPr>
          <w:rFonts w:asciiTheme="majorHAnsi" w:hAnsiTheme="majorHAnsi" w:cstheme="majorHAnsi"/>
          <w:i/>
          <w:iCs/>
          <w:color w:val="000000"/>
          <w:spacing w:val="-1"/>
        </w:rPr>
      </w:pPr>
      <w:r w:rsidRPr="00A11090">
        <w:rPr>
          <w:rFonts w:asciiTheme="majorHAnsi" w:hAnsiTheme="majorHAnsi" w:cstheme="majorHAnsi"/>
          <w:i/>
          <w:iCs/>
          <w:color w:val="000000"/>
          <w:spacing w:val="-1"/>
        </w:rPr>
        <w:t>Zoning laws restrict the land to industrial use only — this is a market-based restriction and must be considered.</w:t>
      </w:r>
    </w:p>
    <w:p w14:paraId="1D4B6EA6" w14:textId="77777777" w:rsidR="004A2843" w:rsidRPr="00A11090" w:rsidRDefault="004A2843" w:rsidP="004A2843">
      <w:pPr>
        <w:pStyle w:val="ListParagraph"/>
        <w:numPr>
          <w:ilvl w:val="0"/>
          <w:numId w:val="75"/>
        </w:numPr>
        <w:spacing w:after="0" w:line="278" w:lineRule="auto"/>
        <w:jc w:val="both"/>
        <w:rPr>
          <w:rFonts w:asciiTheme="majorHAnsi" w:hAnsiTheme="majorHAnsi" w:cstheme="majorHAnsi"/>
          <w:i/>
          <w:iCs/>
          <w:color w:val="000000"/>
          <w:spacing w:val="-1"/>
        </w:rPr>
      </w:pPr>
      <w:r w:rsidRPr="00A11090">
        <w:rPr>
          <w:rFonts w:asciiTheme="majorHAnsi" w:hAnsiTheme="majorHAnsi" w:cstheme="majorHAnsi"/>
          <w:i/>
          <w:iCs/>
          <w:color w:val="000000"/>
          <w:spacing w:val="-1"/>
        </w:rPr>
        <w:t>The plant is purpose-built for automotive parts but could be adapted for other manufacturing uses.</w:t>
      </w:r>
    </w:p>
    <w:p w14:paraId="4E68CB73" w14:textId="77777777" w:rsidR="004A2843" w:rsidRPr="00A11090" w:rsidRDefault="004A2843" w:rsidP="004A2843">
      <w:pPr>
        <w:pStyle w:val="ListParagraph"/>
        <w:spacing w:after="0"/>
        <w:jc w:val="both"/>
        <w:rPr>
          <w:rFonts w:asciiTheme="majorHAnsi" w:hAnsiTheme="majorHAnsi" w:cstheme="majorHAnsi"/>
          <w:i/>
          <w:iCs/>
          <w:color w:val="000000"/>
          <w:spacing w:val="-1"/>
        </w:rPr>
      </w:pPr>
    </w:p>
    <w:p w14:paraId="2551CBA0" w14:textId="77777777" w:rsidR="004A2843" w:rsidRPr="00A11090" w:rsidRDefault="004A2843" w:rsidP="004A2843">
      <w:pPr>
        <w:spacing w:after="0"/>
        <w:jc w:val="both"/>
        <w:rPr>
          <w:rFonts w:asciiTheme="majorHAnsi" w:hAnsiTheme="majorHAnsi" w:cstheme="majorHAnsi"/>
          <w:i/>
          <w:iCs/>
          <w:color w:val="000000"/>
          <w:spacing w:val="-1"/>
        </w:rPr>
      </w:pPr>
      <w:r w:rsidRPr="00A11090">
        <w:rPr>
          <w:rFonts w:asciiTheme="majorHAnsi" w:hAnsiTheme="majorHAnsi" w:cstheme="majorHAnsi"/>
          <w:i/>
          <w:iCs/>
          <w:color w:val="000000"/>
          <w:spacing w:val="-1"/>
        </w:rPr>
        <w:t>The valuer uses a suitable valuation technique to estimate the fair value, incorporating the above characteristics. The zoning restriction (industrial use only) shall be factored in because it limits the highest and best use of the land which is a key principle under IFRS 13.</w:t>
      </w:r>
    </w:p>
    <w:p w14:paraId="31FE8932" w14:textId="77777777" w:rsidR="004A2843" w:rsidRPr="004A2843" w:rsidRDefault="004A2843" w:rsidP="00F4087B">
      <w:pPr>
        <w:spacing w:after="0" w:line="240" w:lineRule="auto"/>
        <w:jc w:val="both"/>
        <w:rPr>
          <w:rFonts w:asciiTheme="majorHAnsi" w:hAnsiTheme="majorHAnsi" w:cstheme="majorHAnsi"/>
          <w:color w:val="000000"/>
          <w:spacing w:val="-1"/>
        </w:rPr>
      </w:pPr>
    </w:p>
    <w:p w14:paraId="6DCA47C7" w14:textId="77777777" w:rsidR="00F4087B" w:rsidRPr="00373D98" w:rsidRDefault="00F4087B" w:rsidP="00F4087B">
      <w:pPr>
        <w:pStyle w:val="Heading2"/>
        <w:numPr>
          <w:ilvl w:val="1"/>
          <w:numId w:val="15"/>
        </w:numPr>
        <w:spacing w:after="240"/>
        <w:ind w:left="990" w:hanging="630"/>
        <w:rPr>
          <w:rFonts w:cstheme="majorHAnsi"/>
        </w:rPr>
      </w:pPr>
      <w:bookmarkStart w:id="9" w:name="_Toc213491713"/>
      <w:bookmarkStart w:id="10" w:name="_Toc213491714"/>
      <w:bookmarkEnd w:id="9"/>
      <w:r w:rsidRPr="00373D98">
        <w:rPr>
          <w:rFonts w:cstheme="majorHAnsi"/>
        </w:rPr>
        <w:t>For a non-financial asset, the valuation premise that is appropriate for the measurement</w:t>
      </w:r>
      <w:bookmarkStart w:id="11" w:name="_Toc208818074"/>
      <w:bookmarkEnd w:id="8"/>
      <w:bookmarkEnd w:id="10"/>
    </w:p>
    <w:p w14:paraId="3F08EF38" w14:textId="77777777" w:rsidR="00F4087B" w:rsidRPr="00373D98" w:rsidRDefault="00F4087B" w:rsidP="00F4087B">
      <w:pPr>
        <w:spacing w:after="0"/>
        <w:jc w:val="both"/>
        <w:rPr>
          <w:rFonts w:asciiTheme="majorHAnsi" w:hAnsiTheme="majorHAnsi" w:cstheme="majorHAnsi"/>
          <w:b/>
          <w:bCs/>
          <w:color w:val="000000"/>
          <w:spacing w:val="-1"/>
        </w:rPr>
      </w:pPr>
      <w:r w:rsidRPr="00373D98">
        <w:rPr>
          <w:rFonts w:asciiTheme="majorHAnsi" w:hAnsiTheme="majorHAnsi" w:cstheme="majorHAnsi"/>
          <w:b/>
          <w:bCs/>
          <w:color w:val="000000"/>
          <w:spacing w:val="-1"/>
        </w:rPr>
        <w:t>Highest and best use</w:t>
      </w:r>
    </w:p>
    <w:p w14:paraId="54CE099D" w14:textId="77777777" w:rsidR="00F4087B" w:rsidRPr="00373D98" w:rsidRDefault="00F4087B" w:rsidP="00F4087B">
      <w:pPr>
        <w:spacing w:after="0"/>
        <w:jc w:val="both"/>
        <w:rPr>
          <w:rFonts w:asciiTheme="majorHAnsi" w:hAnsiTheme="majorHAnsi" w:cstheme="majorHAnsi"/>
          <w:color w:val="000000"/>
          <w:spacing w:val="-1"/>
        </w:rPr>
      </w:pPr>
      <w:r w:rsidRPr="00373D98">
        <w:rPr>
          <w:rFonts w:asciiTheme="majorHAnsi" w:hAnsiTheme="majorHAnsi" w:cstheme="majorHAnsi"/>
          <w:color w:val="000000"/>
          <w:spacing w:val="-1"/>
        </w:rPr>
        <w:t xml:space="preserve">Highest and best use refers to “the use of a non-financial asset by market participants that would </w:t>
      </w:r>
      <w:proofErr w:type="spellStart"/>
      <w:r w:rsidRPr="00373D98">
        <w:rPr>
          <w:rFonts w:asciiTheme="majorHAnsi" w:hAnsiTheme="majorHAnsi" w:cstheme="majorHAnsi"/>
          <w:color w:val="000000"/>
          <w:spacing w:val="-1"/>
        </w:rPr>
        <w:t>maximise</w:t>
      </w:r>
      <w:proofErr w:type="spellEnd"/>
      <w:r w:rsidRPr="00373D98">
        <w:rPr>
          <w:rFonts w:asciiTheme="majorHAnsi" w:hAnsiTheme="majorHAnsi" w:cstheme="majorHAnsi"/>
          <w:color w:val="000000"/>
          <w:spacing w:val="-1"/>
        </w:rPr>
        <w:t xml:space="preserve"> the value of the asset or the group of assets within which the asset would be used”. </w:t>
      </w:r>
    </w:p>
    <w:p w14:paraId="7F53B6CE" w14:textId="77777777" w:rsidR="00F4087B" w:rsidRPr="00373D98" w:rsidRDefault="00F4087B" w:rsidP="00F4087B">
      <w:pPr>
        <w:spacing w:after="0"/>
        <w:jc w:val="both"/>
        <w:rPr>
          <w:rFonts w:asciiTheme="majorHAnsi" w:hAnsiTheme="majorHAnsi" w:cstheme="majorHAnsi"/>
          <w:b/>
          <w:bCs/>
          <w:color w:val="000000"/>
          <w:spacing w:val="-1"/>
        </w:rPr>
      </w:pPr>
    </w:p>
    <w:p w14:paraId="4998F6D2" w14:textId="77777777" w:rsidR="00F4087B" w:rsidRPr="00373D98" w:rsidRDefault="00F4087B" w:rsidP="00F4087B">
      <w:pPr>
        <w:spacing w:after="0"/>
        <w:jc w:val="both"/>
        <w:rPr>
          <w:rFonts w:asciiTheme="majorHAnsi" w:hAnsiTheme="majorHAnsi" w:cstheme="majorHAnsi"/>
          <w:color w:val="000000"/>
          <w:spacing w:val="-1"/>
        </w:rPr>
      </w:pPr>
      <w:r w:rsidRPr="00373D98">
        <w:rPr>
          <w:rFonts w:asciiTheme="majorHAnsi" w:hAnsiTheme="majorHAnsi" w:cstheme="majorHAnsi"/>
          <w:color w:val="000000"/>
          <w:spacing w:val="-1"/>
        </w:rPr>
        <w:t>In determining the highest and best use of a non-financial asset, IFRS 13.28 indicates uses that are physically possible, legally permissible and financially feasible should be considered. As such, when assessing alternative uses, entities should consider the physical characteristics of the asset, any legal restrictions on its use and whether the value generated provides an adequate investment return for market participants.</w:t>
      </w:r>
    </w:p>
    <w:p w14:paraId="0C41A50B" w14:textId="77777777" w:rsidR="00F4087B" w:rsidRPr="00373D98" w:rsidRDefault="00F4087B" w:rsidP="00F4087B">
      <w:pPr>
        <w:spacing w:after="0"/>
        <w:jc w:val="both"/>
        <w:rPr>
          <w:rFonts w:asciiTheme="majorHAnsi" w:hAnsiTheme="majorHAnsi" w:cstheme="majorHAnsi"/>
          <w:b/>
          <w:bCs/>
          <w:color w:val="000000"/>
          <w:spacing w:val="-1"/>
        </w:rPr>
      </w:pPr>
    </w:p>
    <w:p w14:paraId="4D6546CD" w14:textId="77777777" w:rsidR="00F4087B" w:rsidRPr="00373D98" w:rsidRDefault="00F4087B" w:rsidP="00F4087B">
      <w:pPr>
        <w:spacing w:after="0"/>
        <w:jc w:val="both"/>
        <w:rPr>
          <w:rFonts w:asciiTheme="majorHAnsi" w:hAnsiTheme="majorHAnsi" w:cstheme="majorHAnsi"/>
          <w:b/>
          <w:bCs/>
          <w:color w:val="000000"/>
          <w:spacing w:val="-1"/>
        </w:rPr>
      </w:pPr>
      <w:r w:rsidRPr="00373D98">
        <w:rPr>
          <w:rFonts w:asciiTheme="majorHAnsi" w:hAnsiTheme="majorHAnsi" w:cstheme="majorHAnsi"/>
          <w:b/>
          <w:bCs/>
          <w:color w:val="000000"/>
          <w:spacing w:val="-1"/>
        </w:rPr>
        <w:t>Illustrative example</w:t>
      </w:r>
    </w:p>
    <w:p w14:paraId="4159FBF7" w14:textId="77777777" w:rsidR="00F4087B" w:rsidRPr="00373D98" w:rsidRDefault="00F4087B" w:rsidP="00F4087B">
      <w:pPr>
        <w:spacing w:after="0"/>
        <w:jc w:val="both"/>
        <w:rPr>
          <w:rFonts w:asciiTheme="majorHAnsi" w:hAnsiTheme="majorHAnsi" w:cstheme="majorHAnsi"/>
          <w:i/>
          <w:iCs/>
          <w:color w:val="000000"/>
          <w:spacing w:val="-1"/>
        </w:rPr>
      </w:pPr>
      <w:r w:rsidRPr="00373D98">
        <w:rPr>
          <w:rFonts w:asciiTheme="majorHAnsi" w:hAnsiTheme="majorHAnsi" w:cstheme="majorHAnsi"/>
          <w:b/>
          <w:bCs/>
          <w:color w:val="000000"/>
          <w:spacing w:val="-1"/>
        </w:rPr>
        <w:br/>
      </w:r>
      <w:r w:rsidRPr="00373D98">
        <w:rPr>
          <w:rFonts w:asciiTheme="majorHAnsi" w:hAnsiTheme="majorHAnsi" w:cstheme="majorHAnsi"/>
          <w:i/>
          <w:iCs/>
          <w:color w:val="000000"/>
          <w:spacing w:val="-1"/>
        </w:rPr>
        <w:t>An entity acquires land in a business combination. The land is currently developed for industrial use as a site for a factory. The current use of land is presumed to be its highest and best use unless market or other factors suggest a different use. Nearby sites have recently been developed for residential use as sites for high</w:t>
      </w:r>
      <w:r w:rsidRPr="00373D98">
        <w:rPr>
          <w:rFonts w:asciiTheme="majorHAnsi" w:hAnsiTheme="majorHAnsi" w:cstheme="majorHAnsi"/>
          <w:i/>
          <w:iCs/>
          <w:color w:val="000000"/>
          <w:spacing w:val="-1"/>
        </w:rPr>
        <w:noBreakHyphen/>
        <w:t>rise apartment buildings. On the basis of that development and recent zoning and other changes to facilitate that development, the entity determines that the land currently used as a site for a factory could be developed as a site for residential use (</w:t>
      </w:r>
      <w:proofErr w:type="spellStart"/>
      <w:r w:rsidRPr="00373D98">
        <w:rPr>
          <w:rFonts w:asciiTheme="majorHAnsi" w:hAnsiTheme="majorHAnsi" w:cstheme="majorHAnsi"/>
          <w:i/>
          <w:iCs/>
          <w:color w:val="000000"/>
          <w:spacing w:val="-1"/>
        </w:rPr>
        <w:t>ie</w:t>
      </w:r>
      <w:proofErr w:type="spellEnd"/>
      <w:r w:rsidRPr="00373D98">
        <w:rPr>
          <w:rFonts w:asciiTheme="majorHAnsi" w:hAnsiTheme="majorHAnsi" w:cstheme="majorHAnsi"/>
          <w:i/>
          <w:iCs/>
          <w:color w:val="000000"/>
          <w:spacing w:val="-1"/>
        </w:rPr>
        <w:t xml:space="preserve"> for high</w:t>
      </w:r>
      <w:r w:rsidRPr="00373D98">
        <w:rPr>
          <w:rFonts w:asciiTheme="majorHAnsi" w:hAnsiTheme="majorHAnsi" w:cstheme="majorHAnsi"/>
          <w:i/>
          <w:iCs/>
          <w:color w:val="000000"/>
          <w:spacing w:val="-1"/>
        </w:rPr>
        <w:noBreakHyphen/>
        <w:t>rise apartment buildings) because market participants would take into account the potential to develop the site for residential use when pricing the land.</w:t>
      </w:r>
    </w:p>
    <w:p w14:paraId="3424163C" w14:textId="77777777" w:rsidR="00F4087B" w:rsidRPr="00373D98" w:rsidRDefault="00F4087B" w:rsidP="00F4087B">
      <w:pPr>
        <w:spacing w:after="0"/>
        <w:jc w:val="both"/>
        <w:rPr>
          <w:rFonts w:asciiTheme="majorHAnsi" w:hAnsiTheme="majorHAnsi" w:cstheme="majorHAnsi"/>
          <w:i/>
          <w:iCs/>
          <w:color w:val="000000"/>
          <w:spacing w:val="-1"/>
        </w:rPr>
      </w:pPr>
    </w:p>
    <w:p w14:paraId="6775DE07" w14:textId="77777777" w:rsidR="00F4087B" w:rsidRPr="00373D98" w:rsidRDefault="00F4087B" w:rsidP="00F4087B">
      <w:pPr>
        <w:spacing w:after="0"/>
        <w:jc w:val="both"/>
        <w:rPr>
          <w:rFonts w:asciiTheme="majorHAnsi" w:hAnsiTheme="majorHAnsi" w:cstheme="majorHAnsi"/>
          <w:i/>
          <w:iCs/>
          <w:color w:val="000000"/>
          <w:spacing w:val="-1"/>
        </w:rPr>
      </w:pPr>
      <w:r w:rsidRPr="00373D98">
        <w:rPr>
          <w:rFonts w:asciiTheme="majorHAnsi" w:hAnsiTheme="majorHAnsi" w:cstheme="majorHAnsi"/>
          <w:i/>
          <w:iCs/>
          <w:color w:val="000000"/>
          <w:spacing w:val="-1"/>
        </w:rPr>
        <w:t xml:space="preserve">The highest and best use of the land would be determined by comparing both of the following: </w:t>
      </w:r>
    </w:p>
    <w:p w14:paraId="2FD39167" w14:textId="77777777" w:rsidR="00F4087B" w:rsidRPr="00373D98" w:rsidRDefault="00F4087B" w:rsidP="00F4087B">
      <w:pPr>
        <w:spacing w:after="0"/>
        <w:jc w:val="both"/>
        <w:rPr>
          <w:rFonts w:asciiTheme="majorHAnsi" w:hAnsiTheme="majorHAnsi" w:cstheme="majorHAnsi"/>
          <w:b/>
          <w:bCs/>
          <w:i/>
          <w:iCs/>
          <w:color w:val="000000"/>
          <w:spacing w:val="-1"/>
        </w:rPr>
      </w:pPr>
    </w:p>
    <w:p w14:paraId="627DF49B" w14:textId="77777777" w:rsidR="00F4087B" w:rsidRPr="00373D98" w:rsidRDefault="00F4087B" w:rsidP="00F4087B">
      <w:pPr>
        <w:pStyle w:val="ListParagraph"/>
        <w:numPr>
          <w:ilvl w:val="0"/>
          <w:numId w:val="61"/>
        </w:numPr>
        <w:spacing w:after="0" w:line="278" w:lineRule="auto"/>
        <w:jc w:val="both"/>
        <w:rPr>
          <w:rFonts w:asciiTheme="majorHAnsi" w:hAnsiTheme="majorHAnsi" w:cstheme="majorHAnsi"/>
          <w:i/>
          <w:iCs/>
          <w:color w:val="000000"/>
          <w:spacing w:val="-1"/>
        </w:rPr>
      </w:pPr>
      <w:r w:rsidRPr="00373D98">
        <w:rPr>
          <w:rFonts w:asciiTheme="majorHAnsi" w:hAnsiTheme="majorHAnsi" w:cstheme="majorHAnsi"/>
          <w:i/>
          <w:iCs/>
          <w:color w:val="000000"/>
          <w:spacing w:val="-1"/>
        </w:rPr>
        <w:t>the value of the land as currently developed for industrial use (</w:t>
      </w:r>
      <w:proofErr w:type="spellStart"/>
      <w:r w:rsidRPr="00373D98">
        <w:rPr>
          <w:rFonts w:asciiTheme="majorHAnsi" w:hAnsiTheme="majorHAnsi" w:cstheme="majorHAnsi"/>
          <w:i/>
          <w:iCs/>
          <w:color w:val="000000"/>
          <w:spacing w:val="-1"/>
        </w:rPr>
        <w:t>ie</w:t>
      </w:r>
      <w:proofErr w:type="spellEnd"/>
      <w:r w:rsidRPr="00373D98">
        <w:rPr>
          <w:rFonts w:asciiTheme="majorHAnsi" w:hAnsiTheme="majorHAnsi" w:cstheme="majorHAnsi"/>
          <w:i/>
          <w:iCs/>
          <w:color w:val="000000"/>
          <w:spacing w:val="-1"/>
        </w:rPr>
        <w:t xml:space="preserve"> the land would be used in combination with other assets, such as the factory, or with other assets and liabilities).</w:t>
      </w:r>
    </w:p>
    <w:p w14:paraId="151DD67F" w14:textId="77777777" w:rsidR="00F4087B" w:rsidRPr="00373D98" w:rsidRDefault="00F4087B" w:rsidP="00F4087B">
      <w:pPr>
        <w:pStyle w:val="ListParagraph"/>
        <w:numPr>
          <w:ilvl w:val="0"/>
          <w:numId w:val="61"/>
        </w:numPr>
        <w:spacing w:after="0" w:line="278" w:lineRule="auto"/>
        <w:jc w:val="both"/>
        <w:rPr>
          <w:rFonts w:asciiTheme="majorHAnsi" w:hAnsiTheme="majorHAnsi" w:cstheme="majorHAnsi"/>
          <w:i/>
          <w:iCs/>
          <w:color w:val="000000"/>
          <w:spacing w:val="-1"/>
        </w:rPr>
      </w:pPr>
      <w:r w:rsidRPr="00373D98">
        <w:rPr>
          <w:rFonts w:asciiTheme="majorHAnsi" w:hAnsiTheme="majorHAnsi" w:cstheme="majorHAnsi"/>
          <w:i/>
          <w:iCs/>
          <w:color w:val="000000"/>
          <w:spacing w:val="-1"/>
        </w:rPr>
        <w:t>the value of the land as a vacant site for residential use, taking into account the costs of demolishing the factory and other costs (including the uncertainty about whether the entity would be able to convert the asset to the alternative use) necessary to convert the land to a vacant site (</w:t>
      </w:r>
      <w:proofErr w:type="spellStart"/>
      <w:r w:rsidRPr="00373D98">
        <w:rPr>
          <w:rFonts w:asciiTheme="majorHAnsi" w:hAnsiTheme="majorHAnsi" w:cstheme="majorHAnsi"/>
          <w:i/>
          <w:iCs/>
          <w:color w:val="000000"/>
          <w:spacing w:val="-1"/>
        </w:rPr>
        <w:t>ie</w:t>
      </w:r>
      <w:proofErr w:type="spellEnd"/>
      <w:r w:rsidRPr="00373D98">
        <w:rPr>
          <w:rFonts w:asciiTheme="majorHAnsi" w:hAnsiTheme="majorHAnsi" w:cstheme="majorHAnsi"/>
          <w:i/>
          <w:iCs/>
          <w:color w:val="000000"/>
          <w:spacing w:val="-1"/>
        </w:rPr>
        <w:t xml:space="preserve"> the land is to be used by market participants on a stand</w:t>
      </w:r>
      <w:r w:rsidRPr="00373D98">
        <w:rPr>
          <w:rFonts w:asciiTheme="majorHAnsi" w:hAnsiTheme="majorHAnsi" w:cstheme="majorHAnsi"/>
          <w:i/>
          <w:iCs/>
          <w:color w:val="000000"/>
          <w:spacing w:val="-1"/>
        </w:rPr>
        <w:noBreakHyphen/>
        <w:t xml:space="preserve">alone basis.  </w:t>
      </w:r>
    </w:p>
    <w:p w14:paraId="34BA871A" w14:textId="77777777" w:rsidR="00F4087B" w:rsidRPr="00373D98" w:rsidRDefault="00F4087B" w:rsidP="00F4087B">
      <w:pPr>
        <w:spacing w:after="0"/>
        <w:jc w:val="both"/>
        <w:rPr>
          <w:rFonts w:asciiTheme="majorHAnsi" w:hAnsiTheme="majorHAnsi" w:cstheme="majorHAnsi"/>
          <w:i/>
          <w:iCs/>
          <w:color w:val="000000"/>
          <w:spacing w:val="-1"/>
        </w:rPr>
      </w:pPr>
    </w:p>
    <w:p w14:paraId="72DDB66D" w14:textId="77777777" w:rsidR="00F4087B" w:rsidRPr="00373D98" w:rsidRDefault="00F4087B" w:rsidP="00F4087B">
      <w:pPr>
        <w:spacing w:after="0"/>
        <w:jc w:val="both"/>
        <w:rPr>
          <w:rFonts w:asciiTheme="majorHAnsi" w:hAnsiTheme="majorHAnsi" w:cstheme="majorHAnsi"/>
          <w:i/>
          <w:iCs/>
          <w:color w:val="000000"/>
          <w:spacing w:val="-1"/>
        </w:rPr>
      </w:pPr>
      <w:r w:rsidRPr="00373D98">
        <w:rPr>
          <w:rFonts w:asciiTheme="majorHAnsi" w:hAnsiTheme="majorHAnsi" w:cstheme="majorHAnsi"/>
          <w:i/>
          <w:iCs/>
          <w:color w:val="000000"/>
          <w:spacing w:val="-1"/>
        </w:rPr>
        <w:t xml:space="preserve">The highest and best use of the land would be determined </w:t>
      </w:r>
      <w:proofErr w:type="gramStart"/>
      <w:r w:rsidRPr="00373D98">
        <w:rPr>
          <w:rFonts w:asciiTheme="majorHAnsi" w:hAnsiTheme="majorHAnsi" w:cstheme="majorHAnsi"/>
          <w:i/>
          <w:iCs/>
          <w:color w:val="000000"/>
          <w:spacing w:val="-1"/>
        </w:rPr>
        <w:t>on the basis of</w:t>
      </w:r>
      <w:proofErr w:type="gramEnd"/>
      <w:r w:rsidRPr="00373D98">
        <w:rPr>
          <w:rFonts w:asciiTheme="majorHAnsi" w:hAnsiTheme="majorHAnsi" w:cstheme="majorHAnsi"/>
          <w:i/>
          <w:iCs/>
          <w:color w:val="000000"/>
          <w:spacing w:val="-1"/>
        </w:rPr>
        <w:t xml:space="preserve"> the higher of those values. In situations involving real estate appraisal, the determination of highest and best use might </w:t>
      </w:r>
      <w:proofErr w:type="gramStart"/>
      <w:r w:rsidRPr="00373D98">
        <w:rPr>
          <w:rFonts w:asciiTheme="majorHAnsi" w:hAnsiTheme="majorHAnsi" w:cstheme="majorHAnsi"/>
          <w:i/>
          <w:iCs/>
          <w:color w:val="000000"/>
          <w:spacing w:val="-1"/>
        </w:rPr>
        <w:t>take into account</w:t>
      </w:r>
      <w:proofErr w:type="gramEnd"/>
      <w:r w:rsidRPr="00373D98">
        <w:rPr>
          <w:rFonts w:asciiTheme="majorHAnsi" w:hAnsiTheme="majorHAnsi" w:cstheme="majorHAnsi"/>
          <w:i/>
          <w:iCs/>
          <w:color w:val="000000"/>
          <w:spacing w:val="-1"/>
        </w:rPr>
        <w:t xml:space="preserve"> factors relating to the factory operations, including its assets and liabilities. </w:t>
      </w:r>
    </w:p>
    <w:p w14:paraId="29DB7497" w14:textId="77777777" w:rsidR="00F4087B" w:rsidRPr="00373D98" w:rsidRDefault="00F4087B" w:rsidP="00F4087B">
      <w:pPr>
        <w:rPr>
          <w:rFonts w:asciiTheme="majorHAnsi" w:hAnsiTheme="majorHAnsi" w:cstheme="majorHAnsi"/>
        </w:rPr>
      </w:pPr>
    </w:p>
    <w:p w14:paraId="08316932" w14:textId="77777777" w:rsidR="00F4087B" w:rsidRPr="00373D98" w:rsidRDefault="00F4087B" w:rsidP="00F4087B">
      <w:pPr>
        <w:pStyle w:val="Heading2"/>
        <w:numPr>
          <w:ilvl w:val="1"/>
          <w:numId w:val="15"/>
        </w:numPr>
        <w:spacing w:after="240"/>
        <w:ind w:left="990" w:hanging="630"/>
        <w:rPr>
          <w:rFonts w:cstheme="majorHAnsi"/>
        </w:rPr>
      </w:pPr>
      <w:bookmarkStart w:id="12" w:name="_Toc213491715"/>
      <w:r w:rsidRPr="00373D98">
        <w:rPr>
          <w:rFonts w:cstheme="majorHAnsi"/>
        </w:rPr>
        <w:lastRenderedPageBreak/>
        <w:t>The principal (or most advantageous) market for the asset</w:t>
      </w:r>
      <w:bookmarkStart w:id="13" w:name="_Toc208818075"/>
      <w:bookmarkEnd w:id="11"/>
      <w:bookmarkEnd w:id="12"/>
    </w:p>
    <w:p w14:paraId="6F0E3DF6" w14:textId="77777777" w:rsidR="00F4087B" w:rsidRPr="00373D98" w:rsidRDefault="00F4087B" w:rsidP="00F4087B">
      <w:pPr>
        <w:spacing w:after="0"/>
        <w:jc w:val="both"/>
        <w:rPr>
          <w:rFonts w:asciiTheme="majorHAnsi" w:hAnsiTheme="majorHAnsi" w:cstheme="majorHAnsi"/>
          <w:color w:val="000000"/>
          <w:spacing w:val="-1"/>
        </w:rPr>
      </w:pPr>
      <w:r w:rsidRPr="00373D98">
        <w:rPr>
          <w:rFonts w:asciiTheme="majorHAnsi" w:hAnsiTheme="majorHAnsi" w:cstheme="majorHAnsi"/>
          <w:color w:val="000000"/>
          <w:spacing w:val="-1"/>
        </w:rPr>
        <w:t>A fair value measurement contemplates an orderly transaction to sell the asset or transfer the liability in either 1) the principal market for the asset or liability 2) In the absence of a principal market, the most advantageous market for the asset or liability.</w:t>
      </w:r>
    </w:p>
    <w:p w14:paraId="106C0320" w14:textId="77777777" w:rsidR="00F4087B" w:rsidRPr="00373D98" w:rsidRDefault="00F4087B" w:rsidP="00F4087B">
      <w:pPr>
        <w:spacing w:after="0"/>
        <w:ind w:left="360"/>
        <w:jc w:val="both"/>
        <w:rPr>
          <w:rFonts w:asciiTheme="majorHAnsi" w:hAnsiTheme="majorHAnsi" w:cstheme="majorHAnsi"/>
          <w:color w:val="000000"/>
          <w:spacing w:val="-1"/>
        </w:rPr>
      </w:pPr>
    </w:p>
    <w:p w14:paraId="1AC0A6BD" w14:textId="77777777" w:rsidR="00F4087B" w:rsidRPr="00373D98" w:rsidRDefault="00F4087B" w:rsidP="00F4087B">
      <w:pPr>
        <w:spacing w:after="0"/>
        <w:jc w:val="both"/>
        <w:rPr>
          <w:rFonts w:asciiTheme="majorHAnsi" w:hAnsiTheme="majorHAnsi" w:cstheme="majorHAnsi"/>
          <w:color w:val="000000"/>
          <w:spacing w:val="-1"/>
        </w:rPr>
      </w:pPr>
      <w:r w:rsidRPr="00373D98">
        <w:rPr>
          <w:rFonts w:asciiTheme="majorHAnsi" w:hAnsiTheme="majorHAnsi" w:cstheme="majorHAnsi"/>
          <w:color w:val="000000"/>
          <w:spacing w:val="-1"/>
        </w:rPr>
        <w:t>IFRS 13 is clear that, if there is a principal market for the asset or liability, the fair value measurement represents the price in that market at the measurement date (regardless of whether that price is directly observable or estimated using another valuation technique). The price in the principal market must be used even if the price in a different market is potentially more advantageous.</w:t>
      </w:r>
    </w:p>
    <w:p w14:paraId="6BC95868" w14:textId="77777777" w:rsidR="00F4087B" w:rsidRPr="00373D98" w:rsidRDefault="00F4087B" w:rsidP="00F4087B">
      <w:pPr>
        <w:spacing w:after="0"/>
        <w:ind w:left="360"/>
        <w:jc w:val="both"/>
        <w:rPr>
          <w:rFonts w:asciiTheme="majorHAnsi" w:hAnsiTheme="majorHAnsi" w:cstheme="majorHAnsi"/>
          <w:color w:val="000000"/>
          <w:spacing w:val="-1"/>
        </w:rPr>
      </w:pPr>
    </w:p>
    <w:p w14:paraId="26516D04" w14:textId="168412A6" w:rsidR="00F4087B" w:rsidRPr="00373D98" w:rsidRDefault="00F4087B" w:rsidP="00F4087B">
      <w:pPr>
        <w:spacing w:after="0"/>
        <w:jc w:val="both"/>
        <w:rPr>
          <w:rFonts w:asciiTheme="majorHAnsi" w:hAnsiTheme="majorHAnsi" w:cstheme="majorHAnsi"/>
          <w:color w:val="000000"/>
          <w:spacing w:val="-1"/>
        </w:rPr>
      </w:pPr>
      <w:r w:rsidRPr="00373D98">
        <w:rPr>
          <w:rFonts w:asciiTheme="majorHAnsi" w:hAnsiTheme="majorHAnsi" w:cstheme="majorHAnsi"/>
          <w:color w:val="000000"/>
          <w:spacing w:val="-1"/>
        </w:rPr>
        <w:t xml:space="preserve">The principal market is the market for the asset or liability that has the greatest volume or level of activity for the asset or liability. There is a general presumption that the principal market is the one in which the entity would normally </w:t>
      </w:r>
      <w:proofErr w:type="gramStart"/>
      <w:r w:rsidRPr="00373D98">
        <w:rPr>
          <w:rFonts w:asciiTheme="majorHAnsi" w:hAnsiTheme="majorHAnsi" w:cstheme="majorHAnsi"/>
          <w:color w:val="000000"/>
          <w:spacing w:val="-1"/>
        </w:rPr>
        <w:t>enter into</w:t>
      </w:r>
      <w:proofErr w:type="gramEnd"/>
      <w:r w:rsidRPr="00373D98">
        <w:rPr>
          <w:rFonts w:asciiTheme="majorHAnsi" w:hAnsiTheme="majorHAnsi" w:cstheme="majorHAnsi"/>
          <w:color w:val="000000"/>
          <w:spacing w:val="-1"/>
        </w:rPr>
        <w:t xml:space="preserve"> a transaction to sell the asset, unless there is evidence to the contrary. In practice, an entity would first consider the markets it can access. Then it would determine which of those markets has the greatest volume and liquidity in relation to the particular asset or liability.</w:t>
      </w:r>
    </w:p>
    <w:p w14:paraId="1CD00733" w14:textId="77777777" w:rsidR="00F4087B" w:rsidRPr="00373D98" w:rsidRDefault="00F4087B" w:rsidP="00F4087B">
      <w:pPr>
        <w:spacing w:after="0"/>
        <w:ind w:left="360"/>
        <w:jc w:val="both"/>
        <w:rPr>
          <w:rFonts w:asciiTheme="majorHAnsi" w:hAnsiTheme="majorHAnsi" w:cstheme="majorHAnsi"/>
          <w:color w:val="000000"/>
          <w:spacing w:val="-1"/>
        </w:rPr>
      </w:pPr>
    </w:p>
    <w:p w14:paraId="73B0F3B6" w14:textId="77777777" w:rsidR="00F4087B" w:rsidRPr="00373D98" w:rsidRDefault="00F4087B" w:rsidP="00A11090">
      <w:pPr>
        <w:spacing w:after="0"/>
        <w:ind w:left="360" w:hanging="360"/>
        <w:jc w:val="both"/>
        <w:rPr>
          <w:rFonts w:asciiTheme="majorHAnsi" w:hAnsiTheme="majorHAnsi" w:cstheme="majorHAnsi"/>
          <w:b/>
          <w:bCs/>
          <w:color w:val="000000"/>
          <w:spacing w:val="-1"/>
        </w:rPr>
      </w:pPr>
      <w:r w:rsidRPr="00373D98">
        <w:rPr>
          <w:rFonts w:asciiTheme="majorHAnsi" w:hAnsiTheme="majorHAnsi" w:cstheme="majorHAnsi"/>
          <w:b/>
          <w:bCs/>
          <w:color w:val="000000"/>
          <w:spacing w:val="-1"/>
        </w:rPr>
        <w:t>Illustrative example</w:t>
      </w:r>
    </w:p>
    <w:p w14:paraId="0992EEB1" w14:textId="63CC2259" w:rsidR="00996A82" w:rsidRDefault="00F4087B" w:rsidP="00996A82">
      <w:pPr>
        <w:spacing w:after="0"/>
        <w:jc w:val="both"/>
        <w:rPr>
          <w:rFonts w:asciiTheme="majorHAnsi" w:hAnsiTheme="majorHAnsi" w:cstheme="majorHAnsi"/>
          <w:i/>
          <w:iCs/>
          <w:color w:val="000000"/>
          <w:spacing w:val="-1"/>
        </w:rPr>
      </w:pPr>
      <w:r w:rsidRPr="00373D98">
        <w:rPr>
          <w:rFonts w:asciiTheme="majorHAnsi" w:hAnsiTheme="majorHAnsi" w:cstheme="majorHAnsi"/>
          <w:i/>
          <w:iCs/>
          <w:color w:val="000000"/>
          <w:spacing w:val="-1"/>
        </w:rPr>
        <w:t xml:space="preserve">An asset is sold in two different active markets at different prices. An entity </w:t>
      </w:r>
      <w:proofErr w:type="gramStart"/>
      <w:r w:rsidRPr="00373D98">
        <w:rPr>
          <w:rFonts w:asciiTheme="majorHAnsi" w:hAnsiTheme="majorHAnsi" w:cstheme="majorHAnsi"/>
          <w:i/>
          <w:iCs/>
          <w:color w:val="000000"/>
          <w:spacing w:val="-1"/>
        </w:rPr>
        <w:t>enters into</w:t>
      </w:r>
      <w:proofErr w:type="gramEnd"/>
      <w:r w:rsidRPr="00373D98">
        <w:rPr>
          <w:rFonts w:asciiTheme="majorHAnsi" w:hAnsiTheme="majorHAnsi" w:cstheme="majorHAnsi"/>
          <w:i/>
          <w:iCs/>
          <w:color w:val="000000"/>
          <w:spacing w:val="-1"/>
        </w:rPr>
        <w:t xml:space="preserve"> transactions in both markets and can access the price in those markets for the asset at the measurement date. In Market A, the price that would be received is CU26, transaction costs in that market are CU3 and the costs to transport the asset to that market are CU2 (</w:t>
      </w:r>
      <w:proofErr w:type="spellStart"/>
      <w:r w:rsidRPr="00373D98">
        <w:rPr>
          <w:rFonts w:asciiTheme="majorHAnsi" w:hAnsiTheme="majorHAnsi" w:cstheme="majorHAnsi"/>
          <w:i/>
          <w:iCs/>
          <w:color w:val="000000"/>
          <w:spacing w:val="-1"/>
        </w:rPr>
        <w:t>ie</w:t>
      </w:r>
      <w:proofErr w:type="spellEnd"/>
      <w:r w:rsidRPr="00373D98">
        <w:rPr>
          <w:rFonts w:asciiTheme="majorHAnsi" w:hAnsiTheme="majorHAnsi" w:cstheme="majorHAnsi"/>
          <w:i/>
          <w:iCs/>
          <w:color w:val="000000"/>
          <w:spacing w:val="-1"/>
        </w:rPr>
        <w:t xml:space="preserve"> the net amount that would be received is CU21). In Market B, the price that would be received is CU25, transaction costs in that market are CU1 and the costs to transport the asset to that market are CU2 (</w:t>
      </w:r>
      <w:proofErr w:type="spellStart"/>
      <w:r w:rsidRPr="00373D98">
        <w:rPr>
          <w:rFonts w:asciiTheme="majorHAnsi" w:hAnsiTheme="majorHAnsi" w:cstheme="majorHAnsi"/>
          <w:i/>
          <w:iCs/>
          <w:color w:val="000000"/>
          <w:spacing w:val="-1"/>
        </w:rPr>
        <w:t>ie</w:t>
      </w:r>
      <w:proofErr w:type="spellEnd"/>
      <w:r w:rsidRPr="00373D98">
        <w:rPr>
          <w:rFonts w:asciiTheme="majorHAnsi" w:hAnsiTheme="majorHAnsi" w:cstheme="majorHAnsi"/>
          <w:i/>
          <w:iCs/>
          <w:color w:val="000000"/>
          <w:spacing w:val="-1"/>
        </w:rPr>
        <w:t xml:space="preserve"> the net amount that would be received in Market B is CU22).</w:t>
      </w:r>
    </w:p>
    <w:p w14:paraId="70B08F79" w14:textId="77777777" w:rsidR="00996A82" w:rsidRPr="00373D98" w:rsidRDefault="00996A82" w:rsidP="00A11090">
      <w:pPr>
        <w:spacing w:after="0"/>
        <w:jc w:val="both"/>
        <w:rPr>
          <w:rFonts w:asciiTheme="majorHAnsi" w:hAnsiTheme="majorHAnsi" w:cstheme="majorHAnsi"/>
          <w:i/>
          <w:iCs/>
          <w:color w:val="000000"/>
          <w:spacing w:val="-1"/>
        </w:rPr>
      </w:pPr>
    </w:p>
    <w:p w14:paraId="4E6C736B" w14:textId="294EAB71" w:rsidR="00996A82" w:rsidRDefault="00F4087B" w:rsidP="00996A82">
      <w:pPr>
        <w:spacing w:after="0"/>
        <w:jc w:val="both"/>
        <w:rPr>
          <w:rFonts w:asciiTheme="majorHAnsi" w:hAnsiTheme="majorHAnsi" w:cstheme="majorHAnsi"/>
          <w:i/>
          <w:iCs/>
          <w:color w:val="000000"/>
          <w:spacing w:val="-1"/>
        </w:rPr>
      </w:pPr>
      <w:r w:rsidRPr="00373D98">
        <w:rPr>
          <w:rFonts w:asciiTheme="majorHAnsi" w:hAnsiTheme="majorHAnsi" w:cstheme="majorHAnsi"/>
          <w:i/>
          <w:iCs/>
          <w:color w:val="000000"/>
          <w:spacing w:val="-1"/>
        </w:rPr>
        <w:t>If Market A is the principal market for the asset (</w:t>
      </w:r>
      <w:proofErr w:type="spellStart"/>
      <w:r w:rsidRPr="00373D98">
        <w:rPr>
          <w:rFonts w:asciiTheme="majorHAnsi" w:hAnsiTheme="majorHAnsi" w:cstheme="majorHAnsi"/>
          <w:i/>
          <w:iCs/>
          <w:color w:val="000000"/>
          <w:spacing w:val="-1"/>
        </w:rPr>
        <w:t>ie</w:t>
      </w:r>
      <w:proofErr w:type="spellEnd"/>
      <w:r w:rsidRPr="00373D98">
        <w:rPr>
          <w:rFonts w:asciiTheme="majorHAnsi" w:hAnsiTheme="majorHAnsi" w:cstheme="majorHAnsi"/>
          <w:i/>
          <w:iCs/>
          <w:color w:val="000000"/>
          <w:spacing w:val="-1"/>
        </w:rPr>
        <w:t xml:space="preserve"> the market with the greatest volume and level of activity for the asset), the fair value of the asset would be measured using the price that would be received in that market, after </w:t>
      </w:r>
      <w:proofErr w:type="gramStart"/>
      <w:r w:rsidRPr="00373D98">
        <w:rPr>
          <w:rFonts w:asciiTheme="majorHAnsi" w:hAnsiTheme="majorHAnsi" w:cstheme="majorHAnsi"/>
          <w:i/>
          <w:iCs/>
          <w:color w:val="000000"/>
          <w:spacing w:val="-1"/>
        </w:rPr>
        <w:t>taking into account</w:t>
      </w:r>
      <w:proofErr w:type="gramEnd"/>
      <w:r w:rsidRPr="00373D98">
        <w:rPr>
          <w:rFonts w:asciiTheme="majorHAnsi" w:hAnsiTheme="majorHAnsi" w:cstheme="majorHAnsi"/>
          <w:i/>
          <w:iCs/>
          <w:color w:val="000000"/>
          <w:spacing w:val="-1"/>
        </w:rPr>
        <w:t xml:space="preserve"> transport costs (CU24).</w:t>
      </w:r>
    </w:p>
    <w:p w14:paraId="02B29E33" w14:textId="77777777" w:rsidR="00996A82" w:rsidRPr="00373D98" w:rsidRDefault="00996A82" w:rsidP="00A11090">
      <w:pPr>
        <w:spacing w:after="0"/>
        <w:jc w:val="both"/>
        <w:rPr>
          <w:rFonts w:asciiTheme="majorHAnsi" w:hAnsiTheme="majorHAnsi" w:cstheme="majorHAnsi"/>
          <w:i/>
          <w:iCs/>
          <w:color w:val="000000"/>
          <w:spacing w:val="-1"/>
        </w:rPr>
      </w:pPr>
    </w:p>
    <w:p w14:paraId="26D4EAB2" w14:textId="4A13D23C" w:rsidR="00996A82" w:rsidRDefault="00F4087B" w:rsidP="00996A82">
      <w:pPr>
        <w:spacing w:after="0"/>
        <w:jc w:val="both"/>
        <w:rPr>
          <w:rFonts w:asciiTheme="majorHAnsi" w:hAnsiTheme="majorHAnsi" w:cstheme="majorHAnsi"/>
          <w:i/>
          <w:iCs/>
          <w:color w:val="000000"/>
          <w:spacing w:val="-1"/>
        </w:rPr>
      </w:pPr>
      <w:r w:rsidRPr="00373D98">
        <w:rPr>
          <w:rFonts w:asciiTheme="majorHAnsi" w:hAnsiTheme="majorHAnsi" w:cstheme="majorHAnsi"/>
          <w:i/>
          <w:iCs/>
          <w:color w:val="000000"/>
          <w:spacing w:val="-1"/>
        </w:rPr>
        <w:t xml:space="preserve">If neither market is the principal market for the asset, the fair value of the asset would be measured using the price in the most advantageous market.  The most advantageous market is the market that </w:t>
      </w:r>
      <w:proofErr w:type="spellStart"/>
      <w:r w:rsidRPr="00373D98">
        <w:rPr>
          <w:rFonts w:asciiTheme="majorHAnsi" w:hAnsiTheme="majorHAnsi" w:cstheme="majorHAnsi"/>
          <w:i/>
          <w:iCs/>
          <w:color w:val="000000"/>
          <w:spacing w:val="-1"/>
        </w:rPr>
        <w:t>maximises</w:t>
      </w:r>
      <w:proofErr w:type="spellEnd"/>
      <w:r w:rsidRPr="00373D98">
        <w:rPr>
          <w:rFonts w:asciiTheme="majorHAnsi" w:hAnsiTheme="majorHAnsi" w:cstheme="majorHAnsi"/>
          <w:i/>
          <w:iCs/>
          <w:color w:val="000000"/>
          <w:spacing w:val="-1"/>
        </w:rPr>
        <w:t xml:space="preserve"> the amount that would be received to sell the asset, after </w:t>
      </w:r>
      <w:proofErr w:type="gramStart"/>
      <w:r w:rsidRPr="00373D98">
        <w:rPr>
          <w:rFonts w:asciiTheme="majorHAnsi" w:hAnsiTheme="majorHAnsi" w:cstheme="majorHAnsi"/>
          <w:i/>
          <w:iCs/>
          <w:color w:val="000000"/>
          <w:spacing w:val="-1"/>
        </w:rPr>
        <w:t>taking into account</w:t>
      </w:r>
      <w:proofErr w:type="gramEnd"/>
      <w:r w:rsidRPr="00373D98">
        <w:rPr>
          <w:rFonts w:asciiTheme="majorHAnsi" w:hAnsiTheme="majorHAnsi" w:cstheme="majorHAnsi"/>
          <w:i/>
          <w:iCs/>
          <w:color w:val="000000"/>
          <w:spacing w:val="-1"/>
        </w:rPr>
        <w:t xml:space="preserve"> transaction costs and transport costs (</w:t>
      </w:r>
      <w:proofErr w:type="spellStart"/>
      <w:r w:rsidRPr="00373D98">
        <w:rPr>
          <w:rFonts w:asciiTheme="majorHAnsi" w:hAnsiTheme="majorHAnsi" w:cstheme="majorHAnsi"/>
          <w:i/>
          <w:iCs/>
          <w:color w:val="000000"/>
          <w:spacing w:val="-1"/>
        </w:rPr>
        <w:t>ie</w:t>
      </w:r>
      <w:proofErr w:type="spellEnd"/>
      <w:r w:rsidRPr="00373D98">
        <w:rPr>
          <w:rFonts w:asciiTheme="majorHAnsi" w:hAnsiTheme="majorHAnsi" w:cstheme="majorHAnsi"/>
          <w:i/>
          <w:iCs/>
          <w:color w:val="000000"/>
          <w:spacing w:val="-1"/>
        </w:rPr>
        <w:t xml:space="preserve"> the net amount that would be received in the respective markets).</w:t>
      </w:r>
    </w:p>
    <w:p w14:paraId="28EBE224" w14:textId="77777777" w:rsidR="00996A82" w:rsidRPr="00373D98" w:rsidRDefault="00996A82" w:rsidP="00A11090">
      <w:pPr>
        <w:spacing w:after="0"/>
        <w:jc w:val="both"/>
        <w:rPr>
          <w:rFonts w:asciiTheme="majorHAnsi" w:hAnsiTheme="majorHAnsi" w:cstheme="majorHAnsi"/>
          <w:i/>
          <w:iCs/>
          <w:color w:val="000000"/>
          <w:spacing w:val="-1"/>
        </w:rPr>
      </w:pPr>
    </w:p>
    <w:p w14:paraId="1D001143" w14:textId="4213C010" w:rsidR="00F4087B" w:rsidRPr="00373D98" w:rsidRDefault="00F4087B" w:rsidP="00A11090">
      <w:pPr>
        <w:spacing w:after="0"/>
        <w:jc w:val="both"/>
        <w:rPr>
          <w:rFonts w:asciiTheme="majorHAnsi" w:hAnsiTheme="majorHAnsi" w:cstheme="majorHAnsi"/>
        </w:rPr>
      </w:pPr>
      <w:r w:rsidRPr="00373D98">
        <w:rPr>
          <w:rFonts w:asciiTheme="majorHAnsi" w:hAnsiTheme="majorHAnsi" w:cstheme="majorHAnsi"/>
          <w:i/>
          <w:iCs/>
          <w:color w:val="000000"/>
          <w:spacing w:val="-1"/>
        </w:rPr>
        <w:t xml:space="preserve">Because the entity would </w:t>
      </w:r>
      <w:proofErr w:type="spellStart"/>
      <w:r w:rsidRPr="00373D98">
        <w:rPr>
          <w:rFonts w:asciiTheme="majorHAnsi" w:hAnsiTheme="majorHAnsi" w:cstheme="majorHAnsi"/>
          <w:i/>
          <w:iCs/>
          <w:color w:val="000000"/>
          <w:spacing w:val="-1"/>
        </w:rPr>
        <w:t>maximise</w:t>
      </w:r>
      <w:proofErr w:type="spellEnd"/>
      <w:r w:rsidRPr="00373D98">
        <w:rPr>
          <w:rFonts w:asciiTheme="majorHAnsi" w:hAnsiTheme="majorHAnsi" w:cstheme="majorHAnsi"/>
          <w:i/>
          <w:iCs/>
          <w:color w:val="000000"/>
          <w:spacing w:val="-1"/>
        </w:rPr>
        <w:t xml:space="preserve"> the net amount that would be received for the asset in Market B (CU22), the fair value of the asset would be measured using the price in that market (CU25), less transport costs (CU2), resulting in a fair value measurement of CU23. Although transaction costs are </w:t>
      </w:r>
      <w:proofErr w:type="gramStart"/>
      <w:r w:rsidRPr="00373D98">
        <w:rPr>
          <w:rFonts w:asciiTheme="majorHAnsi" w:hAnsiTheme="majorHAnsi" w:cstheme="majorHAnsi"/>
          <w:i/>
          <w:iCs/>
          <w:color w:val="000000"/>
          <w:spacing w:val="-1"/>
        </w:rPr>
        <w:t>taken into account</w:t>
      </w:r>
      <w:proofErr w:type="gramEnd"/>
      <w:r w:rsidRPr="00373D98">
        <w:rPr>
          <w:rFonts w:asciiTheme="majorHAnsi" w:hAnsiTheme="majorHAnsi" w:cstheme="majorHAnsi"/>
          <w:i/>
          <w:iCs/>
          <w:color w:val="000000"/>
          <w:spacing w:val="-1"/>
        </w:rPr>
        <w:t xml:space="preserve"> when determining which market is the most advantageous market, the price </w:t>
      </w:r>
      <w:r w:rsidRPr="00373D98">
        <w:rPr>
          <w:rFonts w:asciiTheme="majorHAnsi" w:hAnsiTheme="majorHAnsi" w:cstheme="majorHAnsi"/>
          <w:i/>
          <w:iCs/>
          <w:color w:val="000000"/>
          <w:spacing w:val="-1"/>
        </w:rPr>
        <w:lastRenderedPageBreak/>
        <w:t>used to measure the fair value of the asset is not adjusted for those costs (although it is adjusted for transport costs)</w:t>
      </w:r>
    </w:p>
    <w:bookmarkEnd w:id="13"/>
    <w:p w14:paraId="3E8D8D2D" w14:textId="7E7B9989" w:rsidR="00706A0C" w:rsidRPr="00373D98" w:rsidRDefault="00706A0C">
      <w:pPr>
        <w:rPr>
          <w:rFonts w:asciiTheme="majorHAnsi" w:hAnsiTheme="majorHAnsi" w:cstheme="majorHAnsi"/>
        </w:rPr>
      </w:pPr>
    </w:p>
    <w:p w14:paraId="7797C135" w14:textId="7496DE4D" w:rsidR="002F1680" w:rsidRPr="00373D98" w:rsidRDefault="00996A82" w:rsidP="00A11090">
      <w:pPr>
        <w:pStyle w:val="Heading1"/>
        <w:numPr>
          <w:ilvl w:val="1"/>
          <w:numId w:val="15"/>
        </w:numPr>
        <w:rPr>
          <w:rFonts w:cstheme="majorHAnsi"/>
        </w:rPr>
      </w:pPr>
      <w:bookmarkStart w:id="14" w:name="_Toc213491716"/>
      <w:r>
        <w:rPr>
          <w:rFonts w:cstheme="majorHAnsi"/>
        </w:rPr>
        <w:t xml:space="preserve"> </w:t>
      </w:r>
      <w:r w:rsidR="00AF1CEF" w:rsidRPr="00373D98">
        <w:rPr>
          <w:rFonts w:cstheme="majorHAnsi"/>
        </w:rPr>
        <w:t>Valuation Approaches (IFRS 13 and IVS 105)</w:t>
      </w:r>
      <w:bookmarkEnd w:id="14"/>
    </w:p>
    <w:p w14:paraId="43F4861B" w14:textId="35C94D57" w:rsidR="00311DD2" w:rsidRPr="00373D98" w:rsidRDefault="00AF1CEF" w:rsidP="00F86D44">
      <w:pPr>
        <w:jc w:val="both"/>
        <w:rPr>
          <w:rFonts w:asciiTheme="majorHAnsi" w:hAnsiTheme="majorHAnsi" w:cstheme="majorHAnsi"/>
        </w:rPr>
      </w:pPr>
      <w:r w:rsidRPr="00373D98">
        <w:rPr>
          <w:rFonts w:asciiTheme="majorHAnsi" w:hAnsiTheme="majorHAnsi" w:cstheme="majorHAnsi"/>
        </w:rPr>
        <w:br/>
      </w:r>
      <w:r w:rsidR="00F86D44" w:rsidRPr="00373D98">
        <w:rPr>
          <w:rFonts w:asciiTheme="majorHAnsi" w:hAnsiTheme="majorHAnsi" w:cstheme="majorHAnsi"/>
        </w:rPr>
        <w:t xml:space="preserve">Consideration must be given to the relevant and appropriate valuation approaches. One or more valuation approaches may be used </w:t>
      </w:r>
      <w:proofErr w:type="gramStart"/>
      <w:r w:rsidR="00F86D44" w:rsidRPr="00373D98">
        <w:rPr>
          <w:rFonts w:asciiTheme="majorHAnsi" w:hAnsiTheme="majorHAnsi" w:cstheme="majorHAnsi"/>
        </w:rPr>
        <w:t>in order to</w:t>
      </w:r>
      <w:proofErr w:type="gramEnd"/>
      <w:r w:rsidR="00F86D44" w:rsidRPr="00373D98">
        <w:rPr>
          <w:rFonts w:asciiTheme="majorHAnsi" w:hAnsiTheme="majorHAnsi" w:cstheme="majorHAnsi"/>
        </w:rPr>
        <w:t xml:space="preserve"> arrive at the value in accordance with the basis of value. The three approaches described and defined below are the </w:t>
      </w:r>
      <w:r w:rsidR="006C7A7D" w:rsidRPr="00373D98">
        <w:rPr>
          <w:rFonts w:asciiTheme="majorHAnsi" w:hAnsiTheme="majorHAnsi" w:cstheme="majorHAnsi"/>
        </w:rPr>
        <w:t>principal</w:t>
      </w:r>
      <w:r w:rsidR="00F86D44" w:rsidRPr="00373D98">
        <w:rPr>
          <w:rFonts w:asciiTheme="majorHAnsi" w:hAnsiTheme="majorHAnsi" w:cstheme="majorHAnsi"/>
        </w:rPr>
        <w:t xml:space="preserve"> valuation approaches</w:t>
      </w:r>
    </w:p>
    <w:p w14:paraId="040F2A71" w14:textId="6E6FF00A" w:rsidR="00F86D44" w:rsidRPr="00373D98" w:rsidRDefault="00AF1CEF" w:rsidP="00F86D44">
      <w:pPr>
        <w:pStyle w:val="ListParagraph"/>
        <w:numPr>
          <w:ilvl w:val="0"/>
          <w:numId w:val="10"/>
        </w:numPr>
        <w:jc w:val="both"/>
        <w:rPr>
          <w:rFonts w:asciiTheme="majorHAnsi" w:hAnsiTheme="majorHAnsi" w:cstheme="majorHAnsi"/>
        </w:rPr>
      </w:pPr>
      <w:r w:rsidRPr="00373D98">
        <w:rPr>
          <w:rFonts w:asciiTheme="majorHAnsi" w:hAnsiTheme="majorHAnsi" w:cstheme="majorHAnsi"/>
        </w:rPr>
        <w:t>Market Approach</w:t>
      </w:r>
    </w:p>
    <w:p w14:paraId="3D094C83" w14:textId="215FACAB" w:rsidR="00F86D44" w:rsidRPr="00373D98" w:rsidRDefault="00AF1CEF" w:rsidP="00F86D44">
      <w:pPr>
        <w:pStyle w:val="ListParagraph"/>
        <w:numPr>
          <w:ilvl w:val="0"/>
          <w:numId w:val="10"/>
        </w:numPr>
        <w:jc w:val="both"/>
        <w:rPr>
          <w:rFonts w:asciiTheme="majorHAnsi" w:hAnsiTheme="majorHAnsi" w:cstheme="majorHAnsi"/>
        </w:rPr>
      </w:pPr>
      <w:r w:rsidRPr="00373D98">
        <w:rPr>
          <w:rFonts w:asciiTheme="majorHAnsi" w:hAnsiTheme="majorHAnsi" w:cstheme="majorHAnsi"/>
        </w:rPr>
        <w:t>Income Approach</w:t>
      </w:r>
    </w:p>
    <w:p w14:paraId="13DBF97B" w14:textId="00583D3F" w:rsidR="002F1680" w:rsidRPr="00373D98" w:rsidRDefault="00AF1CEF" w:rsidP="002E5609">
      <w:pPr>
        <w:pStyle w:val="ListParagraph"/>
        <w:numPr>
          <w:ilvl w:val="0"/>
          <w:numId w:val="10"/>
        </w:numPr>
        <w:rPr>
          <w:rFonts w:asciiTheme="majorHAnsi" w:hAnsiTheme="majorHAnsi" w:cstheme="majorHAnsi"/>
        </w:rPr>
      </w:pPr>
      <w:r w:rsidRPr="00373D98">
        <w:rPr>
          <w:rFonts w:asciiTheme="majorHAnsi" w:hAnsiTheme="majorHAnsi" w:cstheme="majorHAnsi"/>
        </w:rPr>
        <w:t>Cost</w:t>
      </w:r>
      <w:r w:rsidR="002E5609" w:rsidRPr="00373D98">
        <w:rPr>
          <w:rFonts w:asciiTheme="majorHAnsi" w:hAnsiTheme="majorHAnsi" w:cstheme="majorHAnsi"/>
        </w:rPr>
        <w:t xml:space="preserve"> </w:t>
      </w:r>
      <w:r w:rsidRPr="00373D98">
        <w:rPr>
          <w:rFonts w:asciiTheme="majorHAnsi" w:hAnsiTheme="majorHAnsi" w:cstheme="majorHAnsi"/>
        </w:rPr>
        <w:t>Approach</w:t>
      </w:r>
    </w:p>
    <w:p w14:paraId="170C5AA9" w14:textId="06A8DA93" w:rsidR="00F86D44" w:rsidRPr="00373D98" w:rsidRDefault="00F86D44" w:rsidP="00F86D44">
      <w:pPr>
        <w:jc w:val="both"/>
        <w:rPr>
          <w:rFonts w:asciiTheme="majorHAnsi" w:hAnsiTheme="majorHAnsi" w:cstheme="majorHAnsi"/>
        </w:rPr>
      </w:pPr>
      <w:r w:rsidRPr="00373D98">
        <w:rPr>
          <w:rFonts w:asciiTheme="majorHAnsi" w:hAnsiTheme="majorHAnsi" w:cstheme="majorHAnsi"/>
        </w:rPr>
        <w:t xml:space="preserve">The selection of the approach should seek to maximize the use of observable inputs, as appropriate. The goal in selecting valuation approaches and methods for an asset is to find the most appropriate method under the </w:t>
      </w:r>
      <w:proofErr w:type="gramStart"/>
      <w:r w:rsidRPr="00373D98">
        <w:rPr>
          <w:rFonts w:asciiTheme="majorHAnsi" w:hAnsiTheme="majorHAnsi" w:cstheme="majorHAnsi"/>
        </w:rPr>
        <w:t>particular circumstances</w:t>
      </w:r>
      <w:proofErr w:type="gramEnd"/>
      <w:r w:rsidRPr="00373D98">
        <w:rPr>
          <w:rFonts w:asciiTheme="majorHAnsi" w:hAnsiTheme="majorHAnsi" w:cstheme="majorHAnsi"/>
        </w:rPr>
        <w:t xml:space="preserve"> of the valuation. No single method is suitable in every possible situation. In their selection process, the valuer should consider at a </w:t>
      </w:r>
      <w:proofErr w:type="gramStart"/>
      <w:r w:rsidRPr="00373D98">
        <w:rPr>
          <w:rFonts w:asciiTheme="majorHAnsi" w:hAnsiTheme="majorHAnsi" w:cstheme="majorHAnsi"/>
        </w:rPr>
        <w:t>minimum;</w:t>
      </w:r>
      <w:proofErr w:type="gramEnd"/>
    </w:p>
    <w:p w14:paraId="403341A2" w14:textId="17057BA9" w:rsidR="00F86D44" w:rsidRPr="00373D98" w:rsidRDefault="00F86D44" w:rsidP="00F86D44">
      <w:pPr>
        <w:pStyle w:val="ListParagraph"/>
        <w:numPr>
          <w:ilvl w:val="0"/>
          <w:numId w:val="12"/>
        </w:numPr>
        <w:jc w:val="both"/>
        <w:rPr>
          <w:rFonts w:asciiTheme="majorHAnsi" w:hAnsiTheme="majorHAnsi" w:cstheme="majorHAnsi"/>
        </w:rPr>
      </w:pPr>
      <w:r w:rsidRPr="00373D98">
        <w:rPr>
          <w:rFonts w:asciiTheme="majorHAnsi" w:hAnsiTheme="majorHAnsi" w:cstheme="majorHAnsi"/>
        </w:rPr>
        <w:t>the appropriate basis(es) of value and premise(s) of value, determined by the terms and intended use of the valuation,</w:t>
      </w:r>
    </w:p>
    <w:p w14:paraId="15E485AF" w14:textId="77777777" w:rsidR="00F86D44" w:rsidRPr="00373D98" w:rsidRDefault="00F86D44" w:rsidP="00F86D44">
      <w:pPr>
        <w:pStyle w:val="ListParagraph"/>
        <w:numPr>
          <w:ilvl w:val="0"/>
          <w:numId w:val="12"/>
        </w:numPr>
        <w:rPr>
          <w:rFonts w:asciiTheme="majorHAnsi" w:hAnsiTheme="majorHAnsi" w:cstheme="majorHAnsi"/>
        </w:rPr>
      </w:pPr>
      <w:r w:rsidRPr="00373D98">
        <w:rPr>
          <w:rFonts w:asciiTheme="majorHAnsi" w:hAnsiTheme="majorHAnsi" w:cstheme="majorHAnsi"/>
        </w:rPr>
        <w:t>the respective strengths and weaknesses of the possible valuation approaches and valuation methods,</w:t>
      </w:r>
    </w:p>
    <w:p w14:paraId="35FD72CF" w14:textId="79B09CAE" w:rsidR="00F86D44" w:rsidRPr="00373D98" w:rsidRDefault="00F86D44" w:rsidP="00F86D44">
      <w:pPr>
        <w:pStyle w:val="ListParagraph"/>
        <w:numPr>
          <w:ilvl w:val="0"/>
          <w:numId w:val="12"/>
        </w:numPr>
        <w:rPr>
          <w:rFonts w:asciiTheme="majorHAnsi" w:hAnsiTheme="majorHAnsi" w:cstheme="majorHAnsi"/>
        </w:rPr>
      </w:pPr>
      <w:r w:rsidRPr="00373D98">
        <w:rPr>
          <w:rFonts w:asciiTheme="majorHAnsi" w:hAnsiTheme="majorHAnsi" w:cstheme="majorHAnsi"/>
        </w:rPr>
        <w:t>the appropriateness of each method in view of the nature of the asset(s), and the valuation approaches or valuation methods used by participants in the relevant market,</w:t>
      </w:r>
    </w:p>
    <w:p w14:paraId="21A8007B" w14:textId="77777777" w:rsidR="00F86D44" w:rsidRPr="00373D98" w:rsidRDefault="00F86D44" w:rsidP="00F86D44">
      <w:pPr>
        <w:pStyle w:val="ListParagraph"/>
        <w:numPr>
          <w:ilvl w:val="0"/>
          <w:numId w:val="12"/>
        </w:numPr>
        <w:rPr>
          <w:rFonts w:asciiTheme="majorHAnsi" w:hAnsiTheme="majorHAnsi" w:cstheme="majorHAnsi"/>
        </w:rPr>
      </w:pPr>
      <w:r w:rsidRPr="00373D98">
        <w:rPr>
          <w:rFonts w:asciiTheme="majorHAnsi" w:hAnsiTheme="majorHAnsi" w:cstheme="majorHAnsi"/>
        </w:rPr>
        <w:t>the availability of reliable information needed to apply the method(s), and</w:t>
      </w:r>
    </w:p>
    <w:p w14:paraId="567C1C12" w14:textId="77777777" w:rsidR="00F86D44" w:rsidRPr="00373D98" w:rsidRDefault="00F86D44" w:rsidP="00F86D44">
      <w:pPr>
        <w:pStyle w:val="ListParagraph"/>
        <w:numPr>
          <w:ilvl w:val="0"/>
          <w:numId w:val="12"/>
        </w:numPr>
        <w:rPr>
          <w:rFonts w:asciiTheme="majorHAnsi" w:hAnsiTheme="majorHAnsi" w:cstheme="majorHAnsi"/>
        </w:rPr>
      </w:pPr>
      <w:r w:rsidRPr="00373D98">
        <w:rPr>
          <w:rFonts w:asciiTheme="majorHAnsi" w:hAnsiTheme="majorHAnsi" w:cstheme="majorHAnsi"/>
        </w:rPr>
        <w:t>price information from an active market.</w:t>
      </w:r>
    </w:p>
    <w:p w14:paraId="0274ACE0" w14:textId="33C3A788" w:rsidR="00F86D44" w:rsidRPr="00373D98" w:rsidRDefault="002E5609" w:rsidP="00F86D44">
      <w:pPr>
        <w:jc w:val="both"/>
        <w:rPr>
          <w:rFonts w:asciiTheme="majorHAnsi" w:hAnsiTheme="majorHAnsi" w:cstheme="majorHAnsi"/>
        </w:rPr>
      </w:pPr>
      <w:r w:rsidRPr="00373D98">
        <w:rPr>
          <w:rFonts w:asciiTheme="majorHAnsi" w:hAnsiTheme="majorHAnsi" w:cstheme="majorHAnsi"/>
        </w:rPr>
        <w:t>The valuer is not required to use more than one method for the valuation of an asset, particularly when the valuer has a high degree of confidence in the accuracy and reliability of a single method, given the facts and circumstances of the valuation.</w:t>
      </w:r>
    </w:p>
    <w:p w14:paraId="18ED35D9" w14:textId="37CD1D1C" w:rsidR="002E5609" w:rsidRPr="00373D98" w:rsidRDefault="00F11FBE" w:rsidP="00F86D44">
      <w:pPr>
        <w:jc w:val="both"/>
        <w:rPr>
          <w:rFonts w:asciiTheme="majorHAnsi" w:hAnsiTheme="majorHAnsi" w:cstheme="majorHAnsi"/>
        </w:rPr>
      </w:pPr>
      <w:r>
        <w:rPr>
          <w:rFonts w:asciiTheme="majorHAnsi" w:hAnsiTheme="majorHAnsi" w:cstheme="majorHAnsi"/>
        </w:rPr>
        <w:t>However, m</w:t>
      </w:r>
      <w:r w:rsidR="002E5609" w:rsidRPr="00373D98">
        <w:rPr>
          <w:rFonts w:asciiTheme="majorHAnsi" w:hAnsiTheme="majorHAnsi" w:cstheme="majorHAnsi"/>
        </w:rPr>
        <w:t>ore than one valuation approach or valuation method should be considered and may be used to arrive at an indication of value, particularly when there are insufficient factual or observable inputs for a single method to produce a reliable conclusion.</w:t>
      </w:r>
    </w:p>
    <w:p w14:paraId="6A058123" w14:textId="01CC779D" w:rsidR="002E5609" w:rsidRPr="00373D98" w:rsidRDefault="002E5609" w:rsidP="00F86D44">
      <w:pPr>
        <w:jc w:val="both"/>
        <w:rPr>
          <w:rFonts w:asciiTheme="majorHAnsi" w:hAnsiTheme="majorHAnsi" w:cstheme="majorHAnsi"/>
        </w:rPr>
      </w:pPr>
      <w:r w:rsidRPr="00373D98">
        <w:rPr>
          <w:rFonts w:asciiTheme="majorHAnsi" w:hAnsiTheme="majorHAnsi" w:cstheme="majorHAnsi"/>
        </w:rPr>
        <w:t xml:space="preserve">Where more than one valuation approach and valuation method </w:t>
      </w:r>
      <w:proofErr w:type="gramStart"/>
      <w:r w:rsidRPr="00373D98">
        <w:rPr>
          <w:rFonts w:asciiTheme="majorHAnsi" w:hAnsiTheme="majorHAnsi" w:cstheme="majorHAnsi"/>
        </w:rPr>
        <w:t>is</w:t>
      </w:r>
      <w:proofErr w:type="gramEnd"/>
      <w:r w:rsidRPr="00373D98">
        <w:rPr>
          <w:rFonts w:asciiTheme="majorHAnsi" w:hAnsiTheme="majorHAnsi" w:cstheme="majorHAnsi"/>
        </w:rPr>
        <w:t xml:space="preserve"> used, or even multiple methods within a single approach, the value based on those multiple approaches and/or methods should be reasonable and the process of </w:t>
      </w:r>
      <w:proofErr w:type="spellStart"/>
      <w:r w:rsidRPr="00373D98">
        <w:rPr>
          <w:rFonts w:asciiTheme="majorHAnsi" w:hAnsiTheme="majorHAnsi" w:cstheme="majorHAnsi"/>
        </w:rPr>
        <w:t>analysing</w:t>
      </w:r>
      <w:proofErr w:type="spellEnd"/>
      <w:r w:rsidRPr="00373D98">
        <w:rPr>
          <w:rFonts w:asciiTheme="majorHAnsi" w:hAnsiTheme="majorHAnsi" w:cstheme="majorHAnsi"/>
        </w:rPr>
        <w:t xml:space="preserve"> and reconciling the differing values into a single conclusion, without averaging, should be described by the valuer in the report.</w:t>
      </w:r>
    </w:p>
    <w:p w14:paraId="65BB3CC4" w14:textId="77777777" w:rsidR="00612F4A" w:rsidRPr="00373D98" w:rsidRDefault="00612F4A" w:rsidP="00612F4A">
      <w:pPr>
        <w:jc w:val="both"/>
        <w:rPr>
          <w:rFonts w:asciiTheme="majorHAnsi" w:hAnsiTheme="majorHAnsi" w:cstheme="majorHAnsi"/>
          <w:color w:val="000000"/>
          <w:spacing w:val="-1"/>
        </w:rPr>
      </w:pPr>
      <w:r w:rsidRPr="00373D98">
        <w:rPr>
          <w:rFonts w:asciiTheme="majorHAnsi" w:hAnsiTheme="majorHAnsi" w:cstheme="majorHAnsi"/>
          <w:color w:val="000000"/>
          <w:spacing w:val="-1"/>
        </w:rPr>
        <w:lastRenderedPageBreak/>
        <w:t xml:space="preserve">The determination of the appropriate technique(s) to be applied requires significant judgement, sufficient knowledge of the asset or liability and an adequate level of expertise regarding the valuation techniques. Within the application of a given approach, there may be </w:t>
      </w:r>
      <w:proofErr w:type="gramStart"/>
      <w:r w:rsidRPr="00373D98">
        <w:rPr>
          <w:rFonts w:asciiTheme="majorHAnsi" w:hAnsiTheme="majorHAnsi" w:cstheme="majorHAnsi"/>
          <w:color w:val="000000"/>
          <w:spacing w:val="-1"/>
        </w:rPr>
        <w:t>a number of</w:t>
      </w:r>
      <w:proofErr w:type="gramEnd"/>
      <w:r w:rsidRPr="00373D98">
        <w:rPr>
          <w:rFonts w:asciiTheme="majorHAnsi" w:hAnsiTheme="majorHAnsi" w:cstheme="majorHAnsi"/>
          <w:color w:val="000000"/>
          <w:spacing w:val="-1"/>
        </w:rPr>
        <w:t xml:space="preserve"> possible valuation techniques. </w:t>
      </w:r>
    </w:p>
    <w:p w14:paraId="5B171932" w14:textId="77777777" w:rsidR="00612F4A" w:rsidRPr="00373D98" w:rsidRDefault="00612F4A" w:rsidP="00612F4A">
      <w:pPr>
        <w:jc w:val="both"/>
        <w:rPr>
          <w:rFonts w:asciiTheme="majorHAnsi" w:hAnsiTheme="majorHAnsi" w:cstheme="majorHAnsi"/>
          <w:color w:val="000000"/>
          <w:spacing w:val="-1"/>
        </w:rPr>
      </w:pPr>
      <w:r w:rsidRPr="00373D98">
        <w:rPr>
          <w:rFonts w:asciiTheme="majorHAnsi" w:hAnsiTheme="majorHAnsi" w:cstheme="majorHAnsi"/>
          <w:color w:val="000000"/>
          <w:spacing w:val="-1"/>
        </w:rPr>
        <w:t>In certain instances, adjustments to the output from a valuation technique may be required to appropriately determine a fair value measurement in accordance with IFRS 13. An entity makes valuation adjustments if market participants would make those adjustments when pricing an asset or liability (under the market conditions at the measurement date). This includes any adjustments for measurement uncertainty (e.g., a risk premium).</w:t>
      </w:r>
    </w:p>
    <w:p w14:paraId="202E85E2" w14:textId="77777777" w:rsidR="00612F4A" w:rsidRPr="00373D98" w:rsidRDefault="00612F4A" w:rsidP="00612F4A">
      <w:pPr>
        <w:jc w:val="both"/>
        <w:rPr>
          <w:rFonts w:asciiTheme="majorHAnsi" w:hAnsiTheme="majorHAnsi" w:cstheme="majorHAnsi"/>
          <w:color w:val="000000"/>
          <w:spacing w:val="-1"/>
        </w:rPr>
      </w:pPr>
      <w:r w:rsidRPr="00373D98">
        <w:rPr>
          <w:rFonts w:asciiTheme="majorHAnsi" w:hAnsiTheme="majorHAnsi" w:cstheme="majorHAnsi"/>
          <w:color w:val="000000"/>
          <w:spacing w:val="-1"/>
        </w:rPr>
        <w:t xml:space="preserve">Regardless of the valuation technique(s) used, the objective of a fair value measurement remains the same - i.e., an exit price under current market conditions from the perspective of market participant. As such, if the transaction price is determined to represent fair value at initial recognition and a valuation technique that uses unobservable inputs will be used to measure the fair value of an item in subsequent periods, the valuation technique must be calibrated to ensure the valuation technique reflects current market conditions. In other words, at initial recognition the output from the valuation technique should be adjusted to equal the transaction price. </w:t>
      </w:r>
    </w:p>
    <w:p w14:paraId="33D2E61A" w14:textId="77777777" w:rsidR="00612F4A" w:rsidRPr="00373D98" w:rsidRDefault="00612F4A" w:rsidP="00612F4A">
      <w:pPr>
        <w:jc w:val="both"/>
        <w:rPr>
          <w:rFonts w:asciiTheme="majorHAnsi" w:hAnsiTheme="majorHAnsi" w:cstheme="majorHAnsi"/>
          <w:color w:val="000000"/>
        </w:rPr>
      </w:pPr>
      <w:r w:rsidRPr="00373D98">
        <w:rPr>
          <w:rFonts w:asciiTheme="majorHAnsi" w:hAnsiTheme="majorHAnsi" w:cstheme="majorHAnsi"/>
          <w:color w:val="000000"/>
        </w:rPr>
        <w:t>Calibration ensures that a valuation technique incorporates current market conditions. The calibration also helps an entity to determine whether an adjustment to the valuation technique is necessary by identifying potential deficiencies in the valuation model. For example, there might be a characteristic of the asset or liability that is not captured by the valuation technique.</w:t>
      </w:r>
    </w:p>
    <w:p w14:paraId="3CD2335C" w14:textId="77777777" w:rsidR="00612F4A" w:rsidRPr="00373D98" w:rsidRDefault="00612F4A" w:rsidP="00612F4A">
      <w:pPr>
        <w:jc w:val="both"/>
        <w:rPr>
          <w:rFonts w:asciiTheme="majorHAnsi" w:hAnsiTheme="majorHAnsi" w:cstheme="majorHAnsi"/>
          <w:color w:val="000000"/>
        </w:rPr>
      </w:pPr>
      <w:r w:rsidRPr="00373D98">
        <w:rPr>
          <w:rFonts w:asciiTheme="majorHAnsi" w:hAnsiTheme="majorHAnsi" w:cstheme="majorHAnsi"/>
          <w:color w:val="000000"/>
        </w:rPr>
        <w:t>The standard requires that valuation techniques used to measure fair value be applied on a consistent basis among similar assets or liabilities and across reporting period. This is not meant to preclude subsequent changes, such as a change in its weighting when multiple valuation techniques are used or a change in an adjustment applied to a valuation technique.</w:t>
      </w:r>
    </w:p>
    <w:p w14:paraId="670927F0" w14:textId="77777777" w:rsidR="00612F4A" w:rsidRPr="00373D98" w:rsidRDefault="00612F4A" w:rsidP="00612F4A">
      <w:pPr>
        <w:jc w:val="both"/>
        <w:rPr>
          <w:rFonts w:asciiTheme="majorHAnsi" w:hAnsiTheme="majorHAnsi" w:cstheme="majorHAnsi"/>
          <w:color w:val="000000"/>
        </w:rPr>
      </w:pPr>
      <w:r w:rsidRPr="00373D98">
        <w:rPr>
          <w:rFonts w:asciiTheme="majorHAnsi" w:hAnsiTheme="majorHAnsi" w:cstheme="majorHAnsi"/>
          <w:color w:val="000000"/>
        </w:rPr>
        <w:t>IFRS 13 provides the following examples of circumstances that may trigger a change in valuation technique or relative weights assigned to valuation techniques:</w:t>
      </w:r>
    </w:p>
    <w:p w14:paraId="654E0205" w14:textId="77777777" w:rsidR="00612F4A" w:rsidRPr="00373D98" w:rsidRDefault="00612F4A" w:rsidP="00612F4A">
      <w:pPr>
        <w:pStyle w:val="ListParagraph"/>
        <w:numPr>
          <w:ilvl w:val="0"/>
          <w:numId w:val="63"/>
        </w:numPr>
        <w:tabs>
          <w:tab w:val="num" w:pos="720"/>
        </w:tabs>
        <w:spacing w:after="0" w:line="278" w:lineRule="auto"/>
        <w:jc w:val="both"/>
        <w:rPr>
          <w:rFonts w:asciiTheme="majorHAnsi" w:hAnsiTheme="majorHAnsi" w:cstheme="majorHAnsi"/>
          <w:color w:val="000000"/>
        </w:rPr>
      </w:pPr>
      <w:r w:rsidRPr="00373D98">
        <w:rPr>
          <w:rFonts w:asciiTheme="majorHAnsi" w:hAnsiTheme="majorHAnsi" w:cstheme="majorHAnsi"/>
          <w:color w:val="000000"/>
        </w:rPr>
        <w:t>New markets develop</w:t>
      </w:r>
    </w:p>
    <w:p w14:paraId="7CB05FDE" w14:textId="77777777" w:rsidR="00612F4A" w:rsidRPr="00373D98" w:rsidRDefault="00612F4A" w:rsidP="00612F4A">
      <w:pPr>
        <w:pStyle w:val="ListParagraph"/>
        <w:numPr>
          <w:ilvl w:val="0"/>
          <w:numId w:val="63"/>
        </w:numPr>
        <w:tabs>
          <w:tab w:val="num" w:pos="720"/>
        </w:tabs>
        <w:spacing w:after="0" w:line="278" w:lineRule="auto"/>
        <w:jc w:val="both"/>
        <w:rPr>
          <w:rFonts w:asciiTheme="majorHAnsi" w:hAnsiTheme="majorHAnsi" w:cstheme="majorHAnsi"/>
          <w:color w:val="000000"/>
        </w:rPr>
      </w:pPr>
      <w:r w:rsidRPr="00373D98">
        <w:rPr>
          <w:rFonts w:asciiTheme="majorHAnsi" w:hAnsiTheme="majorHAnsi" w:cstheme="majorHAnsi"/>
          <w:color w:val="000000"/>
        </w:rPr>
        <w:t>New information becomes available</w:t>
      </w:r>
    </w:p>
    <w:p w14:paraId="155AB0A0" w14:textId="77777777" w:rsidR="00612F4A" w:rsidRPr="00373D98" w:rsidRDefault="00612F4A" w:rsidP="00612F4A">
      <w:pPr>
        <w:pStyle w:val="ListParagraph"/>
        <w:numPr>
          <w:ilvl w:val="0"/>
          <w:numId w:val="63"/>
        </w:numPr>
        <w:tabs>
          <w:tab w:val="num" w:pos="720"/>
        </w:tabs>
        <w:spacing w:after="0" w:line="278" w:lineRule="auto"/>
        <w:jc w:val="both"/>
        <w:rPr>
          <w:rFonts w:asciiTheme="majorHAnsi" w:hAnsiTheme="majorHAnsi" w:cstheme="majorHAnsi"/>
          <w:color w:val="000000"/>
        </w:rPr>
      </w:pPr>
      <w:r w:rsidRPr="00373D98">
        <w:rPr>
          <w:rFonts w:asciiTheme="majorHAnsi" w:hAnsiTheme="majorHAnsi" w:cstheme="majorHAnsi"/>
          <w:color w:val="000000"/>
        </w:rPr>
        <w:t>Information previously used is no longer available</w:t>
      </w:r>
    </w:p>
    <w:p w14:paraId="5336B008" w14:textId="77777777" w:rsidR="00612F4A" w:rsidRPr="00373D98" w:rsidRDefault="00612F4A" w:rsidP="00612F4A">
      <w:pPr>
        <w:pStyle w:val="ListParagraph"/>
        <w:numPr>
          <w:ilvl w:val="0"/>
          <w:numId w:val="63"/>
        </w:numPr>
        <w:tabs>
          <w:tab w:val="num" w:pos="720"/>
        </w:tabs>
        <w:spacing w:after="0" w:line="278" w:lineRule="auto"/>
        <w:jc w:val="both"/>
        <w:rPr>
          <w:rFonts w:asciiTheme="majorHAnsi" w:hAnsiTheme="majorHAnsi" w:cstheme="majorHAnsi"/>
          <w:color w:val="000000"/>
          <w:lang w:val="fr-FR"/>
        </w:rPr>
      </w:pPr>
      <w:r w:rsidRPr="00373D98">
        <w:rPr>
          <w:rFonts w:asciiTheme="majorHAnsi" w:hAnsiTheme="majorHAnsi" w:cstheme="majorHAnsi"/>
          <w:color w:val="000000"/>
          <w:lang w:val="fr-FR"/>
        </w:rPr>
        <w:t xml:space="preserve">Valuation techniques </w:t>
      </w:r>
      <w:proofErr w:type="spellStart"/>
      <w:r w:rsidRPr="00373D98">
        <w:rPr>
          <w:rFonts w:asciiTheme="majorHAnsi" w:hAnsiTheme="majorHAnsi" w:cstheme="majorHAnsi"/>
          <w:color w:val="000000"/>
          <w:lang w:val="fr-FR"/>
        </w:rPr>
        <w:t>improve</w:t>
      </w:r>
      <w:proofErr w:type="spellEnd"/>
    </w:p>
    <w:p w14:paraId="740C0ECD" w14:textId="77777777" w:rsidR="00612F4A" w:rsidRPr="00373D98" w:rsidRDefault="00612F4A" w:rsidP="00612F4A">
      <w:pPr>
        <w:pStyle w:val="ListParagraph"/>
        <w:numPr>
          <w:ilvl w:val="0"/>
          <w:numId w:val="63"/>
        </w:numPr>
        <w:tabs>
          <w:tab w:val="num" w:pos="720"/>
        </w:tabs>
        <w:spacing w:after="0" w:line="278" w:lineRule="auto"/>
        <w:jc w:val="both"/>
        <w:rPr>
          <w:rFonts w:asciiTheme="majorHAnsi" w:hAnsiTheme="majorHAnsi" w:cstheme="majorHAnsi"/>
          <w:color w:val="000000"/>
          <w:lang w:val="fr-FR"/>
        </w:rPr>
      </w:pPr>
      <w:proofErr w:type="spellStart"/>
      <w:r w:rsidRPr="00373D98">
        <w:rPr>
          <w:rFonts w:asciiTheme="majorHAnsi" w:hAnsiTheme="majorHAnsi" w:cstheme="majorHAnsi"/>
          <w:color w:val="000000"/>
          <w:lang w:val="fr-FR"/>
        </w:rPr>
        <w:t>Market</w:t>
      </w:r>
      <w:proofErr w:type="spellEnd"/>
      <w:r w:rsidRPr="00373D98">
        <w:rPr>
          <w:rFonts w:asciiTheme="majorHAnsi" w:hAnsiTheme="majorHAnsi" w:cstheme="majorHAnsi"/>
          <w:color w:val="000000"/>
          <w:lang w:val="fr-FR"/>
        </w:rPr>
        <w:t xml:space="preserve"> conditions change</w:t>
      </w:r>
    </w:p>
    <w:p w14:paraId="0DA0BDE5" w14:textId="77777777" w:rsidR="00612F4A" w:rsidRPr="00373D98" w:rsidRDefault="00612F4A" w:rsidP="00612F4A">
      <w:pPr>
        <w:tabs>
          <w:tab w:val="num" w:pos="720"/>
        </w:tabs>
        <w:spacing w:after="0"/>
        <w:jc w:val="both"/>
        <w:rPr>
          <w:rFonts w:asciiTheme="majorHAnsi" w:hAnsiTheme="majorHAnsi" w:cstheme="majorHAnsi"/>
          <w:color w:val="000000"/>
          <w:lang w:val="fr-FR"/>
        </w:rPr>
      </w:pPr>
    </w:p>
    <w:p w14:paraId="6AA1B190" w14:textId="77777777" w:rsidR="00612F4A" w:rsidRPr="00373D98" w:rsidRDefault="00612F4A" w:rsidP="00612F4A">
      <w:pPr>
        <w:tabs>
          <w:tab w:val="num" w:pos="720"/>
        </w:tabs>
        <w:jc w:val="both"/>
        <w:rPr>
          <w:rFonts w:asciiTheme="majorHAnsi" w:hAnsiTheme="majorHAnsi" w:cstheme="majorHAnsi"/>
          <w:color w:val="000000"/>
        </w:rPr>
      </w:pPr>
      <w:r w:rsidRPr="00373D98">
        <w:rPr>
          <w:rFonts w:asciiTheme="majorHAnsi" w:hAnsiTheme="majorHAnsi" w:cstheme="majorHAnsi"/>
          <w:b/>
          <w:bCs/>
          <w:color w:val="000000"/>
        </w:rPr>
        <w:t>Inputs to valuation techniques</w:t>
      </w:r>
    </w:p>
    <w:p w14:paraId="5825C411" w14:textId="77777777" w:rsidR="00612F4A" w:rsidRPr="00373D98" w:rsidRDefault="00612F4A" w:rsidP="00612F4A">
      <w:pPr>
        <w:tabs>
          <w:tab w:val="num" w:pos="720"/>
        </w:tabs>
        <w:spacing w:after="0"/>
        <w:jc w:val="both"/>
        <w:rPr>
          <w:rFonts w:asciiTheme="majorHAnsi" w:hAnsiTheme="majorHAnsi" w:cstheme="majorHAnsi"/>
          <w:color w:val="000000"/>
        </w:rPr>
      </w:pPr>
      <w:r w:rsidRPr="00373D98">
        <w:rPr>
          <w:rFonts w:asciiTheme="majorHAnsi" w:hAnsiTheme="majorHAnsi" w:cstheme="majorHAnsi"/>
          <w:color w:val="000000"/>
        </w:rPr>
        <w:t>When selecting the inputs to use in a valuation technique, IFRS 13 requires that they:</w:t>
      </w:r>
    </w:p>
    <w:p w14:paraId="0E74827D" w14:textId="77777777" w:rsidR="00612F4A" w:rsidRPr="00373D98" w:rsidRDefault="00612F4A" w:rsidP="00612F4A">
      <w:pPr>
        <w:numPr>
          <w:ilvl w:val="0"/>
          <w:numId w:val="62"/>
        </w:numPr>
        <w:spacing w:after="0" w:line="278" w:lineRule="auto"/>
        <w:jc w:val="both"/>
        <w:rPr>
          <w:rFonts w:asciiTheme="majorHAnsi" w:hAnsiTheme="majorHAnsi" w:cstheme="majorHAnsi"/>
          <w:color w:val="000000"/>
        </w:rPr>
      </w:pPr>
      <w:r w:rsidRPr="00373D98">
        <w:rPr>
          <w:rFonts w:asciiTheme="majorHAnsi" w:hAnsiTheme="majorHAnsi" w:cstheme="majorHAnsi"/>
          <w:color w:val="000000"/>
        </w:rPr>
        <w:t xml:space="preserve">Be consistent with the characteristics of the asset or liability that market participants would </w:t>
      </w:r>
      <w:proofErr w:type="gramStart"/>
      <w:r w:rsidRPr="00373D98">
        <w:rPr>
          <w:rFonts w:asciiTheme="majorHAnsi" w:hAnsiTheme="majorHAnsi" w:cstheme="majorHAnsi"/>
          <w:color w:val="000000"/>
        </w:rPr>
        <w:t>take into account</w:t>
      </w:r>
      <w:proofErr w:type="gramEnd"/>
      <w:r w:rsidRPr="00373D98">
        <w:rPr>
          <w:rFonts w:asciiTheme="majorHAnsi" w:hAnsiTheme="majorHAnsi" w:cstheme="majorHAnsi"/>
          <w:color w:val="000000"/>
        </w:rPr>
        <w:t xml:space="preserve"> </w:t>
      </w:r>
    </w:p>
    <w:p w14:paraId="26BEA37E" w14:textId="77777777" w:rsidR="00612F4A" w:rsidRPr="00373D98" w:rsidRDefault="00612F4A" w:rsidP="00612F4A">
      <w:pPr>
        <w:numPr>
          <w:ilvl w:val="0"/>
          <w:numId w:val="62"/>
        </w:numPr>
        <w:spacing w:after="0" w:line="278" w:lineRule="auto"/>
        <w:jc w:val="both"/>
        <w:rPr>
          <w:rFonts w:asciiTheme="majorHAnsi" w:hAnsiTheme="majorHAnsi" w:cstheme="majorHAnsi"/>
          <w:color w:val="000000"/>
        </w:rPr>
      </w:pPr>
      <w:r w:rsidRPr="00373D98">
        <w:rPr>
          <w:rFonts w:asciiTheme="majorHAnsi" w:hAnsiTheme="majorHAnsi" w:cstheme="majorHAnsi"/>
          <w:color w:val="000000"/>
        </w:rPr>
        <w:lastRenderedPageBreak/>
        <w:t>Exclude premiums or discounts that reflect size as a characteristic of the entity’s holding, rather than a characteristic of the item being measured</w:t>
      </w:r>
    </w:p>
    <w:p w14:paraId="7A92E772" w14:textId="77777777" w:rsidR="00612F4A" w:rsidRPr="00373D98" w:rsidRDefault="00612F4A" w:rsidP="00612F4A">
      <w:pPr>
        <w:numPr>
          <w:ilvl w:val="0"/>
          <w:numId w:val="62"/>
        </w:numPr>
        <w:spacing w:after="0" w:line="278" w:lineRule="auto"/>
        <w:jc w:val="both"/>
        <w:rPr>
          <w:rFonts w:asciiTheme="majorHAnsi" w:hAnsiTheme="majorHAnsi" w:cstheme="majorHAnsi"/>
          <w:color w:val="000000"/>
        </w:rPr>
      </w:pPr>
      <w:r w:rsidRPr="00373D98">
        <w:rPr>
          <w:rFonts w:asciiTheme="majorHAnsi" w:hAnsiTheme="majorHAnsi" w:cstheme="majorHAnsi"/>
          <w:color w:val="000000"/>
        </w:rPr>
        <w:t xml:space="preserve">Exclude other premiums or discounts if they are inconsistent with the unit of account </w:t>
      </w:r>
    </w:p>
    <w:p w14:paraId="70C5F5F9" w14:textId="77777777" w:rsidR="00612F4A" w:rsidRPr="00373D98" w:rsidRDefault="00612F4A" w:rsidP="00612F4A">
      <w:pPr>
        <w:tabs>
          <w:tab w:val="num" w:pos="720"/>
        </w:tabs>
        <w:spacing w:after="0"/>
        <w:jc w:val="both"/>
        <w:rPr>
          <w:rFonts w:asciiTheme="majorHAnsi" w:hAnsiTheme="majorHAnsi" w:cstheme="majorHAnsi"/>
          <w:color w:val="000000"/>
        </w:rPr>
      </w:pPr>
    </w:p>
    <w:p w14:paraId="757A5182" w14:textId="77777777" w:rsidR="00612F4A" w:rsidRPr="00373D98" w:rsidRDefault="00612F4A" w:rsidP="00612F4A">
      <w:pPr>
        <w:tabs>
          <w:tab w:val="num" w:pos="720"/>
        </w:tabs>
        <w:spacing w:after="0"/>
        <w:jc w:val="both"/>
        <w:rPr>
          <w:rFonts w:asciiTheme="majorHAnsi" w:hAnsiTheme="majorHAnsi" w:cstheme="majorHAnsi"/>
          <w:color w:val="000000"/>
        </w:rPr>
      </w:pPr>
      <w:r w:rsidRPr="00373D98">
        <w:rPr>
          <w:rFonts w:asciiTheme="majorHAnsi" w:hAnsiTheme="majorHAnsi" w:cstheme="majorHAnsi"/>
          <w:color w:val="000000"/>
        </w:rPr>
        <w:t>In all cases, if there is a quoted price in an active market (i.e., a Level 1 input) for the identical asset or a liability, an entity shall use that price without adjustment when measuring fair value.</w:t>
      </w:r>
    </w:p>
    <w:p w14:paraId="7095D266" w14:textId="77777777" w:rsidR="00612F4A" w:rsidRPr="00373D98" w:rsidRDefault="00612F4A" w:rsidP="00612F4A">
      <w:pPr>
        <w:tabs>
          <w:tab w:val="num" w:pos="720"/>
        </w:tabs>
        <w:spacing w:after="0"/>
        <w:jc w:val="both"/>
        <w:rPr>
          <w:rFonts w:asciiTheme="majorHAnsi" w:hAnsiTheme="majorHAnsi" w:cstheme="majorHAnsi"/>
          <w:color w:val="000000"/>
        </w:rPr>
      </w:pPr>
    </w:p>
    <w:p w14:paraId="3EB57BBB" w14:textId="77777777" w:rsidR="00612F4A" w:rsidRPr="00373D98" w:rsidRDefault="00612F4A" w:rsidP="00612F4A">
      <w:pPr>
        <w:tabs>
          <w:tab w:val="num" w:pos="720"/>
        </w:tabs>
        <w:spacing w:after="0"/>
        <w:jc w:val="both"/>
        <w:rPr>
          <w:rFonts w:asciiTheme="majorHAnsi" w:hAnsiTheme="majorHAnsi" w:cstheme="majorHAnsi"/>
          <w:color w:val="000000"/>
        </w:rPr>
      </w:pPr>
      <w:r w:rsidRPr="00373D98">
        <w:rPr>
          <w:rFonts w:asciiTheme="majorHAnsi" w:hAnsiTheme="majorHAnsi" w:cstheme="majorHAnsi"/>
          <w:color w:val="000000"/>
        </w:rPr>
        <w:t xml:space="preserve">Regardless of the valuation techniques used to estimate fair value, IFRS 13 requires that these techniques </w:t>
      </w:r>
      <w:proofErr w:type="spellStart"/>
      <w:r w:rsidRPr="00373D98">
        <w:rPr>
          <w:rFonts w:asciiTheme="majorHAnsi" w:hAnsiTheme="majorHAnsi" w:cstheme="majorHAnsi"/>
          <w:color w:val="000000"/>
        </w:rPr>
        <w:t>maximise</w:t>
      </w:r>
      <w:proofErr w:type="spellEnd"/>
      <w:r w:rsidRPr="00373D98">
        <w:rPr>
          <w:rFonts w:asciiTheme="majorHAnsi" w:hAnsiTheme="majorHAnsi" w:cstheme="majorHAnsi"/>
          <w:color w:val="000000"/>
        </w:rPr>
        <w:t xml:space="preserve"> the use of relevant observable inputs and </w:t>
      </w:r>
      <w:proofErr w:type="spellStart"/>
      <w:r w:rsidRPr="00373D98">
        <w:rPr>
          <w:rFonts w:asciiTheme="majorHAnsi" w:hAnsiTheme="majorHAnsi" w:cstheme="majorHAnsi"/>
          <w:color w:val="000000"/>
        </w:rPr>
        <w:t>minimise</w:t>
      </w:r>
      <w:proofErr w:type="spellEnd"/>
      <w:r w:rsidRPr="00373D98">
        <w:rPr>
          <w:rFonts w:asciiTheme="majorHAnsi" w:hAnsiTheme="majorHAnsi" w:cstheme="majorHAnsi"/>
          <w:color w:val="000000"/>
        </w:rPr>
        <w:t xml:space="preserve"> the use of unobservable inputs. This requirement is consistent with the idea that fair value is a market-based measurement and, therefore, is determined using market-based observable data, to the extent available and relevant.</w:t>
      </w:r>
    </w:p>
    <w:p w14:paraId="53588555" w14:textId="77777777" w:rsidR="00612F4A" w:rsidRPr="00373D98" w:rsidRDefault="00612F4A" w:rsidP="00612F4A">
      <w:pPr>
        <w:tabs>
          <w:tab w:val="num" w:pos="720"/>
        </w:tabs>
        <w:spacing w:after="0"/>
        <w:jc w:val="both"/>
        <w:rPr>
          <w:rFonts w:asciiTheme="majorHAnsi" w:hAnsiTheme="majorHAnsi" w:cstheme="majorHAnsi"/>
          <w:color w:val="000000"/>
        </w:rPr>
      </w:pPr>
    </w:p>
    <w:p w14:paraId="05FFE3E7" w14:textId="77777777" w:rsidR="00612F4A" w:rsidRPr="00373D98" w:rsidRDefault="00612F4A" w:rsidP="00612F4A">
      <w:pPr>
        <w:tabs>
          <w:tab w:val="num" w:pos="720"/>
        </w:tabs>
        <w:spacing w:after="0"/>
        <w:jc w:val="both"/>
        <w:rPr>
          <w:rFonts w:asciiTheme="majorHAnsi" w:hAnsiTheme="majorHAnsi" w:cstheme="majorHAnsi"/>
          <w:b/>
          <w:bCs/>
          <w:color w:val="000000"/>
        </w:rPr>
      </w:pPr>
      <w:r w:rsidRPr="00373D98">
        <w:rPr>
          <w:rFonts w:asciiTheme="majorHAnsi" w:hAnsiTheme="majorHAnsi" w:cstheme="majorHAnsi"/>
          <w:b/>
          <w:bCs/>
          <w:color w:val="000000"/>
        </w:rPr>
        <w:t>The fair value hierarchy</w:t>
      </w:r>
    </w:p>
    <w:p w14:paraId="44D6B61C" w14:textId="77777777" w:rsidR="00612F4A" w:rsidRPr="00373D98" w:rsidRDefault="00612F4A" w:rsidP="00612F4A">
      <w:pPr>
        <w:tabs>
          <w:tab w:val="num" w:pos="720"/>
        </w:tabs>
        <w:spacing w:after="0"/>
        <w:jc w:val="both"/>
        <w:rPr>
          <w:rFonts w:asciiTheme="majorHAnsi" w:hAnsiTheme="majorHAnsi" w:cstheme="majorHAnsi"/>
          <w:b/>
          <w:bCs/>
          <w:color w:val="000000"/>
        </w:rPr>
      </w:pPr>
    </w:p>
    <w:p w14:paraId="7C153BEA" w14:textId="77777777" w:rsidR="00612F4A" w:rsidRPr="00373D98" w:rsidRDefault="00612F4A" w:rsidP="00612F4A">
      <w:pPr>
        <w:tabs>
          <w:tab w:val="num" w:pos="720"/>
        </w:tabs>
        <w:spacing w:after="0"/>
        <w:jc w:val="both"/>
        <w:rPr>
          <w:rFonts w:asciiTheme="majorHAnsi" w:hAnsiTheme="majorHAnsi" w:cstheme="majorHAnsi"/>
          <w:color w:val="000000"/>
        </w:rPr>
      </w:pPr>
      <w:r w:rsidRPr="00373D98">
        <w:rPr>
          <w:rFonts w:asciiTheme="majorHAnsi" w:hAnsiTheme="majorHAnsi" w:cstheme="majorHAnsi"/>
          <w:color w:val="000000"/>
        </w:rPr>
        <w:t>The fair value hierarchy classifies the inputs used to measure fair value into three levels, which are described below.</w:t>
      </w:r>
    </w:p>
    <w:p w14:paraId="55A887DA" w14:textId="77777777" w:rsidR="00612F4A" w:rsidRPr="00373D98" w:rsidRDefault="00612F4A" w:rsidP="00612F4A">
      <w:pPr>
        <w:tabs>
          <w:tab w:val="num" w:pos="720"/>
        </w:tabs>
        <w:spacing w:after="0"/>
        <w:jc w:val="both"/>
        <w:rPr>
          <w:rFonts w:asciiTheme="majorHAnsi" w:hAnsiTheme="majorHAnsi" w:cstheme="majorHAnsi"/>
          <w:color w:val="000000"/>
        </w:rPr>
      </w:pPr>
    </w:p>
    <w:p w14:paraId="3D709C2C" w14:textId="72873F51" w:rsidR="00612F4A" w:rsidRPr="00373D98" w:rsidRDefault="00612F4A" w:rsidP="00612F4A">
      <w:pPr>
        <w:tabs>
          <w:tab w:val="num" w:pos="720"/>
        </w:tabs>
        <w:spacing w:after="0"/>
        <w:jc w:val="both"/>
        <w:rPr>
          <w:rFonts w:asciiTheme="majorHAnsi" w:hAnsiTheme="majorHAnsi" w:cstheme="majorHAnsi"/>
          <w:b/>
          <w:bCs/>
          <w:color w:val="000000"/>
        </w:rPr>
      </w:pPr>
      <w:r w:rsidRPr="00373D98">
        <w:rPr>
          <w:rFonts w:asciiTheme="majorHAnsi" w:hAnsiTheme="majorHAnsi" w:cstheme="majorHAnsi"/>
          <w:b/>
          <w:bCs/>
          <w:color w:val="000000"/>
        </w:rPr>
        <w:t>Figure 5.1: Fair value hierarchy</w:t>
      </w:r>
    </w:p>
    <w:tbl>
      <w:tblPr>
        <w:tblW w:w="5666" w:type="pct"/>
        <w:tblBorders>
          <w:top w:val="single" w:sz="6" w:space="0" w:color="747480"/>
          <w:left w:val="single" w:sz="6" w:space="0" w:color="747480"/>
          <w:bottom w:val="single" w:sz="6" w:space="0" w:color="747480"/>
          <w:right w:val="single" w:sz="6" w:space="0" w:color="747480"/>
        </w:tblBorders>
        <w:shd w:val="clear" w:color="auto" w:fill="FFFFFF"/>
        <w:tblCellMar>
          <w:top w:w="15" w:type="dxa"/>
          <w:left w:w="15" w:type="dxa"/>
          <w:bottom w:w="15" w:type="dxa"/>
          <w:right w:w="15" w:type="dxa"/>
        </w:tblCellMar>
        <w:tblLook w:val="04A0" w:firstRow="1" w:lastRow="0" w:firstColumn="1" w:lastColumn="0" w:noHBand="0" w:noVBand="1"/>
      </w:tblPr>
      <w:tblGrid>
        <w:gridCol w:w="1100"/>
        <w:gridCol w:w="3288"/>
        <w:gridCol w:w="2826"/>
        <w:gridCol w:w="2559"/>
      </w:tblGrid>
      <w:tr w:rsidR="00612F4A" w:rsidRPr="00373D98" w14:paraId="682C402E" w14:textId="77777777" w:rsidTr="00A11090">
        <w:tc>
          <w:tcPr>
            <w:tcW w:w="563" w:type="pct"/>
            <w:tcBorders>
              <w:bottom w:val="single" w:sz="6" w:space="0" w:color="747480"/>
              <w:right w:val="single" w:sz="6" w:space="0" w:color="747480"/>
            </w:tcBorders>
            <w:shd w:val="clear" w:color="auto" w:fill="9696A0"/>
            <w:tcMar>
              <w:top w:w="30" w:type="dxa"/>
              <w:left w:w="30" w:type="dxa"/>
              <w:bottom w:w="30" w:type="dxa"/>
              <w:right w:w="30" w:type="dxa"/>
            </w:tcMar>
            <w:hideMark/>
          </w:tcPr>
          <w:p w14:paraId="242425FE" w14:textId="77777777" w:rsidR="00612F4A" w:rsidRPr="00373D98" w:rsidRDefault="00612F4A">
            <w:pPr>
              <w:tabs>
                <w:tab w:val="num" w:pos="720"/>
              </w:tabs>
              <w:spacing w:after="0"/>
              <w:jc w:val="both"/>
              <w:rPr>
                <w:rFonts w:asciiTheme="majorHAnsi" w:hAnsiTheme="majorHAnsi" w:cstheme="majorHAnsi"/>
                <w:color w:val="000000"/>
              </w:rPr>
            </w:pPr>
            <w:r w:rsidRPr="00373D98">
              <w:rPr>
                <w:rFonts w:asciiTheme="majorHAnsi" w:hAnsiTheme="majorHAnsi" w:cstheme="majorHAnsi"/>
                <w:color w:val="000000"/>
              </w:rPr>
              <w:t> </w:t>
            </w:r>
          </w:p>
        </w:tc>
        <w:tc>
          <w:tcPr>
            <w:tcW w:w="1682" w:type="pct"/>
            <w:tcBorders>
              <w:left w:val="single" w:sz="6" w:space="0" w:color="747480"/>
              <w:bottom w:val="single" w:sz="6" w:space="0" w:color="747480"/>
              <w:right w:val="single" w:sz="6" w:space="0" w:color="747480"/>
            </w:tcBorders>
            <w:shd w:val="clear" w:color="auto" w:fill="9696A0"/>
            <w:tcMar>
              <w:top w:w="30" w:type="dxa"/>
              <w:left w:w="30" w:type="dxa"/>
              <w:bottom w:w="30" w:type="dxa"/>
              <w:right w:w="30" w:type="dxa"/>
            </w:tcMar>
            <w:hideMark/>
          </w:tcPr>
          <w:p w14:paraId="19D24B3B" w14:textId="77777777" w:rsidR="00612F4A" w:rsidRPr="00373D98" w:rsidRDefault="00612F4A">
            <w:pPr>
              <w:tabs>
                <w:tab w:val="num" w:pos="720"/>
              </w:tabs>
              <w:spacing w:after="0"/>
              <w:jc w:val="both"/>
              <w:rPr>
                <w:rFonts w:asciiTheme="majorHAnsi" w:hAnsiTheme="majorHAnsi" w:cstheme="majorHAnsi"/>
                <w:b/>
                <w:bCs/>
                <w:color w:val="000000"/>
              </w:rPr>
            </w:pPr>
            <w:r w:rsidRPr="00373D98">
              <w:rPr>
                <w:rFonts w:asciiTheme="majorHAnsi" w:hAnsiTheme="majorHAnsi" w:cstheme="majorHAnsi"/>
                <w:b/>
                <w:bCs/>
                <w:color w:val="000000"/>
              </w:rPr>
              <w:t>Level 1</w:t>
            </w:r>
          </w:p>
        </w:tc>
        <w:tc>
          <w:tcPr>
            <w:tcW w:w="1446" w:type="pct"/>
            <w:tcBorders>
              <w:left w:val="single" w:sz="6" w:space="0" w:color="747480"/>
              <w:bottom w:val="single" w:sz="6" w:space="0" w:color="747480"/>
              <w:right w:val="single" w:sz="6" w:space="0" w:color="747480"/>
            </w:tcBorders>
            <w:shd w:val="clear" w:color="auto" w:fill="9696A0"/>
            <w:tcMar>
              <w:top w:w="30" w:type="dxa"/>
              <w:left w:w="30" w:type="dxa"/>
              <w:bottom w:w="30" w:type="dxa"/>
              <w:right w:w="30" w:type="dxa"/>
            </w:tcMar>
            <w:hideMark/>
          </w:tcPr>
          <w:p w14:paraId="339CD4A0" w14:textId="77777777" w:rsidR="00612F4A" w:rsidRPr="00373D98" w:rsidRDefault="00612F4A">
            <w:pPr>
              <w:tabs>
                <w:tab w:val="num" w:pos="720"/>
              </w:tabs>
              <w:spacing w:after="0"/>
              <w:jc w:val="both"/>
              <w:rPr>
                <w:rFonts w:asciiTheme="majorHAnsi" w:hAnsiTheme="majorHAnsi" w:cstheme="majorHAnsi"/>
                <w:b/>
                <w:bCs/>
                <w:color w:val="000000"/>
              </w:rPr>
            </w:pPr>
            <w:r w:rsidRPr="00373D98">
              <w:rPr>
                <w:rFonts w:asciiTheme="majorHAnsi" w:hAnsiTheme="majorHAnsi" w:cstheme="majorHAnsi"/>
                <w:b/>
                <w:bCs/>
                <w:color w:val="000000"/>
              </w:rPr>
              <w:t>Level 2</w:t>
            </w:r>
          </w:p>
        </w:tc>
        <w:tc>
          <w:tcPr>
            <w:tcW w:w="1309" w:type="pct"/>
            <w:tcBorders>
              <w:left w:val="single" w:sz="6" w:space="0" w:color="747480"/>
              <w:bottom w:val="single" w:sz="6" w:space="0" w:color="747480"/>
            </w:tcBorders>
            <w:shd w:val="clear" w:color="auto" w:fill="9696A0"/>
            <w:tcMar>
              <w:top w:w="30" w:type="dxa"/>
              <w:left w:w="30" w:type="dxa"/>
              <w:bottom w:w="30" w:type="dxa"/>
              <w:right w:w="30" w:type="dxa"/>
            </w:tcMar>
            <w:hideMark/>
          </w:tcPr>
          <w:p w14:paraId="2295CED3" w14:textId="77777777" w:rsidR="00612F4A" w:rsidRPr="00373D98" w:rsidRDefault="00612F4A">
            <w:pPr>
              <w:tabs>
                <w:tab w:val="num" w:pos="720"/>
              </w:tabs>
              <w:spacing w:after="0"/>
              <w:jc w:val="both"/>
              <w:rPr>
                <w:rFonts w:asciiTheme="majorHAnsi" w:hAnsiTheme="majorHAnsi" w:cstheme="majorHAnsi"/>
                <w:b/>
                <w:bCs/>
                <w:color w:val="000000"/>
              </w:rPr>
            </w:pPr>
            <w:r w:rsidRPr="00373D98">
              <w:rPr>
                <w:rFonts w:asciiTheme="majorHAnsi" w:hAnsiTheme="majorHAnsi" w:cstheme="majorHAnsi"/>
                <w:b/>
                <w:bCs/>
                <w:color w:val="000000"/>
              </w:rPr>
              <w:t>Level 3</w:t>
            </w:r>
          </w:p>
        </w:tc>
      </w:tr>
      <w:tr w:rsidR="00612F4A" w:rsidRPr="00373D98" w14:paraId="7E1C5B4C" w14:textId="77777777" w:rsidTr="00A11090">
        <w:tc>
          <w:tcPr>
            <w:tcW w:w="563" w:type="pct"/>
            <w:tcBorders>
              <w:top w:val="single" w:sz="6" w:space="0" w:color="747480"/>
              <w:bottom w:val="single" w:sz="6" w:space="0" w:color="747480"/>
              <w:right w:val="single" w:sz="6" w:space="0" w:color="747480"/>
            </w:tcBorders>
            <w:shd w:val="clear" w:color="auto" w:fill="C4C4CD"/>
            <w:tcMar>
              <w:top w:w="30" w:type="dxa"/>
              <w:left w:w="30" w:type="dxa"/>
              <w:bottom w:w="30" w:type="dxa"/>
              <w:right w:w="30" w:type="dxa"/>
            </w:tcMar>
            <w:hideMark/>
          </w:tcPr>
          <w:p w14:paraId="04A70227" w14:textId="77777777" w:rsidR="00612F4A" w:rsidRPr="00373D98" w:rsidRDefault="00612F4A">
            <w:pPr>
              <w:tabs>
                <w:tab w:val="num" w:pos="720"/>
              </w:tabs>
              <w:spacing w:after="0"/>
              <w:jc w:val="both"/>
              <w:rPr>
                <w:rFonts w:asciiTheme="majorHAnsi" w:hAnsiTheme="majorHAnsi" w:cstheme="majorHAnsi"/>
                <w:b/>
                <w:bCs/>
                <w:color w:val="000000"/>
              </w:rPr>
            </w:pPr>
            <w:r w:rsidRPr="00373D98">
              <w:rPr>
                <w:rFonts w:asciiTheme="majorHAnsi" w:hAnsiTheme="majorHAnsi" w:cstheme="majorHAnsi"/>
                <w:b/>
                <w:bCs/>
                <w:color w:val="000000"/>
              </w:rPr>
              <w:t>Definition</w:t>
            </w:r>
          </w:p>
          <w:p w14:paraId="160A32B1" w14:textId="77777777" w:rsidR="00612F4A" w:rsidRPr="00373D98" w:rsidRDefault="00612F4A">
            <w:pPr>
              <w:tabs>
                <w:tab w:val="num" w:pos="720"/>
              </w:tabs>
              <w:spacing w:after="0"/>
              <w:jc w:val="both"/>
              <w:rPr>
                <w:rFonts w:asciiTheme="majorHAnsi" w:hAnsiTheme="majorHAnsi" w:cstheme="majorHAnsi"/>
                <w:color w:val="000000"/>
              </w:rPr>
            </w:pPr>
          </w:p>
        </w:tc>
        <w:tc>
          <w:tcPr>
            <w:tcW w:w="1682" w:type="pct"/>
            <w:tcBorders>
              <w:top w:val="single" w:sz="6" w:space="0" w:color="747480"/>
              <w:left w:val="single" w:sz="6" w:space="0" w:color="747480"/>
              <w:bottom w:val="single" w:sz="6" w:space="0" w:color="747480"/>
              <w:right w:val="single" w:sz="6" w:space="0" w:color="747480"/>
            </w:tcBorders>
            <w:shd w:val="clear" w:color="auto" w:fill="FFFFFF"/>
            <w:tcMar>
              <w:top w:w="30" w:type="dxa"/>
              <w:left w:w="30" w:type="dxa"/>
              <w:bottom w:w="30" w:type="dxa"/>
              <w:right w:w="30" w:type="dxa"/>
            </w:tcMar>
            <w:hideMark/>
          </w:tcPr>
          <w:p w14:paraId="20475D56" w14:textId="77777777" w:rsidR="00612F4A" w:rsidRPr="00373D98" w:rsidRDefault="00612F4A" w:rsidP="00612F4A">
            <w:pPr>
              <w:tabs>
                <w:tab w:val="num" w:pos="720"/>
              </w:tabs>
              <w:spacing w:after="0"/>
              <w:ind w:left="103" w:right="34"/>
              <w:jc w:val="both"/>
              <w:rPr>
                <w:rFonts w:asciiTheme="majorHAnsi" w:hAnsiTheme="majorHAnsi" w:cstheme="majorHAnsi"/>
                <w:color w:val="000000"/>
              </w:rPr>
            </w:pPr>
            <w:r w:rsidRPr="00373D98">
              <w:rPr>
                <w:rFonts w:asciiTheme="majorHAnsi" w:hAnsiTheme="majorHAnsi" w:cstheme="majorHAnsi"/>
                <w:color w:val="000000"/>
              </w:rPr>
              <w:t>Quoted prices (unadjusted) in active markets for identical assets or liabilities that the entity can access at the measurement date.</w:t>
            </w:r>
          </w:p>
          <w:p w14:paraId="6CD46616" w14:textId="77777777" w:rsidR="00612F4A" w:rsidRPr="00373D98" w:rsidRDefault="00612F4A">
            <w:pPr>
              <w:tabs>
                <w:tab w:val="num" w:pos="720"/>
              </w:tabs>
              <w:spacing w:after="0"/>
              <w:jc w:val="both"/>
              <w:rPr>
                <w:rFonts w:asciiTheme="majorHAnsi" w:hAnsiTheme="majorHAnsi" w:cstheme="majorHAnsi"/>
                <w:color w:val="000000"/>
              </w:rPr>
            </w:pPr>
          </w:p>
        </w:tc>
        <w:tc>
          <w:tcPr>
            <w:tcW w:w="1446" w:type="pct"/>
            <w:tcBorders>
              <w:top w:val="single" w:sz="6" w:space="0" w:color="747480"/>
              <w:left w:val="single" w:sz="6" w:space="0" w:color="747480"/>
              <w:bottom w:val="single" w:sz="6" w:space="0" w:color="747480"/>
              <w:right w:val="single" w:sz="6" w:space="0" w:color="747480"/>
            </w:tcBorders>
            <w:shd w:val="clear" w:color="auto" w:fill="FFFFFF"/>
            <w:tcMar>
              <w:top w:w="30" w:type="dxa"/>
              <w:left w:w="30" w:type="dxa"/>
              <w:bottom w:w="30" w:type="dxa"/>
              <w:right w:w="30" w:type="dxa"/>
            </w:tcMar>
            <w:hideMark/>
          </w:tcPr>
          <w:p w14:paraId="2B5D3C86" w14:textId="77777777" w:rsidR="00612F4A" w:rsidRPr="00373D98" w:rsidRDefault="00612F4A" w:rsidP="00612F4A">
            <w:pPr>
              <w:tabs>
                <w:tab w:val="num" w:pos="720"/>
              </w:tabs>
              <w:spacing w:after="0"/>
              <w:ind w:left="84" w:right="145"/>
              <w:jc w:val="both"/>
              <w:rPr>
                <w:rFonts w:asciiTheme="majorHAnsi" w:hAnsiTheme="majorHAnsi" w:cstheme="majorHAnsi"/>
                <w:color w:val="000000"/>
              </w:rPr>
            </w:pPr>
            <w:r w:rsidRPr="00373D98">
              <w:rPr>
                <w:rFonts w:asciiTheme="majorHAnsi" w:hAnsiTheme="majorHAnsi" w:cstheme="majorHAnsi"/>
                <w:color w:val="000000"/>
              </w:rPr>
              <w:t>Inputs other than quoted prices included within level 1 that are observable for the asset or liability, either directly or indirectly.</w:t>
            </w:r>
          </w:p>
        </w:tc>
        <w:tc>
          <w:tcPr>
            <w:tcW w:w="1309" w:type="pct"/>
            <w:tcBorders>
              <w:top w:val="single" w:sz="6" w:space="0" w:color="747480"/>
              <w:left w:val="single" w:sz="6" w:space="0" w:color="747480"/>
              <w:bottom w:val="single" w:sz="6" w:space="0" w:color="747480"/>
            </w:tcBorders>
            <w:shd w:val="clear" w:color="auto" w:fill="FFFFFF"/>
            <w:tcMar>
              <w:top w:w="30" w:type="dxa"/>
              <w:left w:w="30" w:type="dxa"/>
              <w:bottom w:w="30" w:type="dxa"/>
              <w:right w:w="30" w:type="dxa"/>
            </w:tcMar>
            <w:hideMark/>
          </w:tcPr>
          <w:p w14:paraId="32E7B520" w14:textId="77777777" w:rsidR="00612F4A" w:rsidRPr="00373D98" w:rsidRDefault="00612F4A" w:rsidP="00612F4A">
            <w:pPr>
              <w:tabs>
                <w:tab w:val="num" w:pos="720"/>
              </w:tabs>
              <w:spacing w:after="0"/>
              <w:ind w:left="63" w:right="97"/>
              <w:jc w:val="both"/>
              <w:rPr>
                <w:rFonts w:asciiTheme="majorHAnsi" w:hAnsiTheme="majorHAnsi" w:cstheme="majorHAnsi"/>
                <w:color w:val="000000"/>
              </w:rPr>
            </w:pPr>
            <w:r w:rsidRPr="00373D98">
              <w:rPr>
                <w:rFonts w:asciiTheme="majorHAnsi" w:hAnsiTheme="majorHAnsi" w:cstheme="majorHAnsi"/>
                <w:color w:val="000000"/>
              </w:rPr>
              <w:t>Unobservable inputs for the asset or liability.</w:t>
            </w:r>
          </w:p>
        </w:tc>
      </w:tr>
      <w:tr w:rsidR="006C7A7D" w:rsidRPr="00373D98" w14:paraId="453720DD" w14:textId="77777777" w:rsidTr="00A11090">
        <w:tc>
          <w:tcPr>
            <w:tcW w:w="563" w:type="pct"/>
            <w:tcBorders>
              <w:top w:val="single" w:sz="6" w:space="0" w:color="747480"/>
              <w:bottom w:val="single" w:sz="6" w:space="0" w:color="747480"/>
              <w:right w:val="single" w:sz="6" w:space="0" w:color="747480"/>
            </w:tcBorders>
            <w:shd w:val="clear" w:color="auto" w:fill="C4C4CD"/>
            <w:tcMar>
              <w:top w:w="30" w:type="dxa"/>
              <w:left w:w="30" w:type="dxa"/>
              <w:bottom w:w="30" w:type="dxa"/>
              <w:right w:w="30" w:type="dxa"/>
            </w:tcMar>
          </w:tcPr>
          <w:p w14:paraId="50E4C2C5" w14:textId="7D3B3994" w:rsidR="006C7A7D" w:rsidRPr="00373D98" w:rsidRDefault="006C7A7D">
            <w:pPr>
              <w:tabs>
                <w:tab w:val="num" w:pos="720"/>
              </w:tabs>
              <w:spacing w:after="0"/>
              <w:jc w:val="both"/>
              <w:rPr>
                <w:rFonts w:asciiTheme="majorHAnsi" w:hAnsiTheme="majorHAnsi" w:cstheme="majorHAnsi"/>
                <w:b/>
                <w:bCs/>
                <w:color w:val="000000"/>
              </w:rPr>
            </w:pPr>
            <w:r>
              <w:rPr>
                <w:rFonts w:asciiTheme="majorHAnsi" w:hAnsiTheme="majorHAnsi" w:cstheme="majorHAnsi"/>
                <w:b/>
                <w:bCs/>
                <w:color w:val="000000"/>
              </w:rPr>
              <w:t xml:space="preserve">Examples </w:t>
            </w:r>
          </w:p>
        </w:tc>
        <w:tc>
          <w:tcPr>
            <w:tcW w:w="1682" w:type="pct"/>
            <w:tcBorders>
              <w:top w:val="single" w:sz="6" w:space="0" w:color="747480"/>
              <w:left w:val="single" w:sz="6" w:space="0" w:color="747480"/>
              <w:bottom w:val="single" w:sz="6" w:space="0" w:color="747480"/>
              <w:right w:val="single" w:sz="6" w:space="0" w:color="747480"/>
            </w:tcBorders>
            <w:shd w:val="clear" w:color="auto" w:fill="FFFFFF"/>
            <w:tcMar>
              <w:top w:w="30" w:type="dxa"/>
              <w:left w:w="30" w:type="dxa"/>
              <w:bottom w:w="30" w:type="dxa"/>
              <w:right w:w="30" w:type="dxa"/>
            </w:tcMar>
          </w:tcPr>
          <w:p w14:paraId="558CCCB5" w14:textId="77777777" w:rsidR="006C7A7D" w:rsidRDefault="000E725A" w:rsidP="00612F4A">
            <w:pPr>
              <w:tabs>
                <w:tab w:val="num" w:pos="720"/>
              </w:tabs>
              <w:spacing w:after="0"/>
              <w:ind w:left="103" w:right="34"/>
              <w:jc w:val="both"/>
              <w:rPr>
                <w:rFonts w:asciiTheme="majorHAnsi" w:hAnsiTheme="majorHAnsi" w:cstheme="majorHAnsi"/>
                <w:color w:val="000000"/>
              </w:rPr>
            </w:pPr>
            <w:r w:rsidRPr="000E725A">
              <w:rPr>
                <w:rFonts w:asciiTheme="majorHAnsi" w:hAnsiTheme="majorHAnsi" w:cstheme="majorHAnsi"/>
                <w:color w:val="000000"/>
              </w:rPr>
              <w:t xml:space="preserve">In practice, </w:t>
            </w:r>
            <w:r w:rsidRPr="000E725A">
              <w:rPr>
                <w:rFonts w:asciiTheme="majorHAnsi" w:hAnsiTheme="majorHAnsi" w:cstheme="majorHAnsi"/>
                <w:b/>
                <w:bCs/>
                <w:color w:val="000000"/>
              </w:rPr>
              <w:t>Level 1 inputs are rarely available for PPE</w:t>
            </w:r>
            <w:r w:rsidRPr="000E725A">
              <w:rPr>
                <w:rFonts w:asciiTheme="majorHAnsi" w:hAnsiTheme="majorHAnsi" w:cstheme="majorHAnsi"/>
                <w:color w:val="000000"/>
              </w:rPr>
              <w:t xml:space="preserve">, because these assets are often unique, specialized, or not traded in active markets. However, in </w:t>
            </w:r>
            <w:r w:rsidRPr="000E725A">
              <w:rPr>
                <w:rFonts w:asciiTheme="majorHAnsi" w:hAnsiTheme="majorHAnsi" w:cstheme="majorHAnsi"/>
                <w:b/>
                <w:bCs/>
                <w:color w:val="000000"/>
              </w:rPr>
              <w:t>limited cases</w:t>
            </w:r>
            <w:r w:rsidRPr="000E725A">
              <w:rPr>
                <w:rFonts w:asciiTheme="majorHAnsi" w:hAnsiTheme="majorHAnsi" w:cstheme="majorHAnsi"/>
                <w:color w:val="000000"/>
              </w:rPr>
              <w:t>, Level 1 inputs may be available.</w:t>
            </w:r>
          </w:p>
          <w:p w14:paraId="10D98743" w14:textId="77777777" w:rsidR="000E725A" w:rsidRDefault="000E725A" w:rsidP="00612F4A">
            <w:pPr>
              <w:tabs>
                <w:tab w:val="num" w:pos="720"/>
              </w:tabs>
              <w:spacing w:after="0"/>
              <w:ind w:left="103" w:right="34"/>
              <w:jc w:val="both"/>
              <w:rPr>
                <w:rFonts w:asciiTheme="majorHAnsi" w:hAnsiTheme="majorHAnsi" w:cstheme="majorHAnsi"/>
                <w:color w:val="000000"/>
              </w:rPr>
            </w:pPr>
          </w:p>
          <w:p w14:paraId="621BEE22" w14:textId="77777777" w:rsidR="000E725A" w:rsidRDefault="000E725A" w:rsidP="000E725A">
            <w:pPr>
              <w:pStyle w:val="ListParagraph"/>
              <w:numPr>
                <w:ilvl w:val="0"/>
                <w:numId w:val="77"/>
              </w:numPr>
              <w:spacing w:after="0"/>
              <w:ind w:right="34"/>
              <w:jc w:val="both"/>
              <w:rPr>
                <w:rFonts w:asciiTheme="majorHAnsi" w:hAnsiTheme="majorHAnsi" w:cstheme="majorHAnsi"/>
                <w:color w:val="000000"/>
              </w:rPr>
            </w:pPr>
            <w:r w:rsidRPr="000E725A">
              <w:rPr>
                <w:rFonts w:asciiTheme="majorHAnsi" w:hAnsiTheme="majorHAnsi" w:cstheme="majorHAnsi"/>
                <w:color w:val="000000"/>
              </w:rPr>
              <w:t>A listed vehicle (e.g., a truck or construction equipment) traded on a public auction platform with frequent transactions</w:t>
            </w:r>
          </w:p>
          <w:p w14:paraId="7310F354" w14:textId="117CAA19" w:rsidR="000E725A" w:rsidRPr="00A11090" w:rsidRDefault="000E725A" w:rsidP="00A11090">
            <w:pPr>
              <w:pStyle w:val="ListParagraph"/>
              <w:spacing w:after="0"/>
              <w:ind w:left="823" w:right="34"/>
              <w:jc w:val="both"/>
              <w:rPr>
                <w:rFonts w:asciiTheme="majorHAnsi" w:hAnsiTheme="majorHAnsi" w:cstheme="majorHAnsi"/>
                <w:color w:val="000000"/>
              </w:rPr>
            </w:pPr>
          </w:p>
        </w:tc>
        <w:tc>
          <w:tcPr>
            <w:tcW w:w="1446" w:type="pct"/>
            <w:tcBorders>
              <w:top w:val="single" w:sz="6" w:space="0" w:color="747480"/>
              <w:left w:val="single" w:sz="6" w:space="0" w:color="747480"/>
              <w:bottom w:val="single" w:sz="6" w:space="0" w:color="747480"/>
              <w:right w:val="single" w:sz="6" w:space="0" w:color="747480"/>
            </w:tcBorders>
            <w:shd w:val="clear" w:color="auto" w:fill="FFFFFF"/>
            <w:tcMar>
              <w:top w:w="30" w:type="dxa"/>
              <w:left w:w="30" w:type="dxa"/>
              <w:bottom w:w="30" w:type="dxa"/>
              <w:right w:w="30" w:type="dxa"/>
            </w:tcMar>
          </w:tcPr>
          <w:p w14:paraId="3794D101" w14:textId="77777777" w:rsidR="006C7A7D" w:rsidRDefault="006C7A7D" w:rsidP="006C7A7D">
            <w:pPr>
              <w:pStyle w:val="ListParagraph"/>
              <w:numPr>
                <w:ilvl w:val="0"/>
                <w:numId w:val="76"/>
              </w:numPr>
              <w:spacing w:after="0"/>
              <w:ind w:right="145"/>
              <w:jc w:val="both"/>
              <w:rPr>
                <w:rFonts w:asciiTheme="majorHAnsi" w:hAnsiTheme="majorHAnsi" w:cstheme="majorHAnsi"/>
                <w:color w:val="000000"/>
              </w:rPr>
            </w:pPr>
            <w:r w:rsidRPr="00A11090">
              <w:rPr>
                <w:rFonts w:asciiTheme="majorHAnsi" w:hAnsiTheme="majorHAnsi" w:cstheme="majorHAnsi"/>
                <w:color w:val="000000"/>
              </w:rPr>
              <w:t>Prices of similar industrial buildings in nearby locations</w:t>
            </w:r>
          </w:p>
          <w:p w14:paraId="1E3A555D" w14:textId="608F80FD" w:rsidR="006C7A7D" w:rsidRDefault="000E725A" w:rsidP="006C7A7D">
            <w:pPr>
              <w:pStyle w:val="ListParagraph"/>
              <w:numPr>
                <w:ilvl w:val="0"/>
                <w:numId w:val="76"/>
              </w:numPr>
              <w:spacing w:after="0"/>
              <w:ind w:right="145"/>
              <w:jc w:val="both"/>
              <w:rPr>
                <w:rFonts w:asciiTheme="majorHAnsi" w:hAnsiTheme="majorHAnsi" w:cstheme="majorHAnsi"/>
                <w:color w:val="000000"/>
              </w:rPr>
            </w:pPr>
            <w:r w:rsidRPr="000E725A">
              <w:rPr>
                <w:rFonts w:asciiTheme="majorHAnsi" w:hAnsiTheme="majorHAnsi" w:cstheme="majorHAnsi"/>
                <w:color w:val="000000"/>
              </w:rPr>
              <w:t>Sale prices of similar used machinery sold in a secondary market</w:t>
            </w:r>
          </w:p>
          <w:p w14:paraId="377A7962" w14:textId="0EE3A6E6" w:rsidR="000E725A" w:rsidRPr="00A11090" w:rsidRDefault="000E725A" w:rsidP="00A11090">
            <w:pPr>
              <w:pStyle w:val="ListParagraph"/>
              <w:numPr>
                <w:ilvl w:val="0"/>
                <w:numId w:val="76"/>
              </w:numPr>
              <w:spacing w:after="0"/>
              <w:ind w:right="145"/>
              <w:jc w:val="both"/>
              <w:rPr>
                <w:rFonts w:asciiTheme="majorHAnsi" w:hAnsiTheme="majorHAnsi" w:cstheme="majorHAnsi"/>
                <w:color w:val="000000"/>
              </w:rPr>
            </w:pPr>
            <w:r w:rsidRPr="000E725A">
              <w:rPr>
                <w:rFonts w:asciiTheme="majorHAnsi" w:hAnsiTheme="majorHAnsi" w:cstheme="majorHAnsi"/>
                <w:color w:val="000000"/>
              </w:rPr>
              <w:t>Rental rates for similar commercial properties used to estimate income approach</w:t>
            </w:r>
          </w:p>
          <w:p w14:paraId="6C53CFB4" w14:textId="4D538EF2" w:rsidR="006C7A7D" w:rsidRPr="00373D98" w:rsidRDefault="006C7A7D" w:rsidP="00A11090">
            <w:pPr>
              <w:tabs>
                <w:tab w:val="num" w:pos="720"/>
              </w:tabs>
              <w:spacing w:after="0"/>
              <w:ind w:right="145"/>
              <w:jc w:val="both"/>
              <w:rPr>
                <w:rFonts w:asciiTheme="majorHAnsi" w:hAnsiTheme="majorHAnsi" w:cstheme="majorHAnsi"/>
                <w:color w:val="000000"/>
              </w:rPr>
            </w:pPr>
          </w:p>
        </w:tc>
        <w:tc>
          <w:tcPr>
            <w:tcW w:w="1309" w:type="pct"/>
            <w:tcBorders>
              <w:top w:val="single" w:sz="6" w:space="0" w:color="747480"/>
              <w:left w:val="single" w:sz="6" w:space="0" w:color="747480"/>
              <w:bottom w:val="single" w:sz="6" w:space="0" w:color="747480"/>
            </w:tcBorders>
            <w:shd w:val="clear" w:color="auto" w:fill="FFFFFF"/>
            <w:tcMar>
              <w:top w:w="30" w:type="dxa"/>
              <w:left w:w="30" w:type="dxa"/>
              <w:bottom w:w="30" w:type="dxa"/>
              <w:right w:w="30" w:type="dxa"/>
            </w:tcMar>
          </w:tcPr>
          <w:p w14:paraId="659B40AB" w14:textId="77777777" w:rsidR="006C7A7D" w:rsidRDefault="006C7A7D" w:rsidP="000E725A">
            <w:pPr>
              <w:pStyle w:val="ListParagraph"/>
              <w:numPr>
                <w:ilvl w:val="0"/>
                <w:numId w:val="76"/>
              </w:numPr>
              <w:spacing w:after="0"/>
              <w:ind w:right="97"/>
              <w:jc w:val="both"/>
              <w:rPr>
                <w:rFonts w:asciiTheme="majorHAnsi" w:hAnsiTheme="majorHAnsi" w:cstheme="majorHAnsi"/>
                <w:color w:val="000000"/>
              </w:rPr>
            </w:pPr>
            <w:r w:rsidRPr="00A11090">
              <w:rPr>
                <w:rFonts w:asciiTheme="majorHAnsi" w:hAnsiTheme="majorHAnsi" w:cstheme="majorHAnsi"/>
                <w:color w:val="000000"/>
              </w:rPr>
              <w:t>Projected cash flows used in a discounted cash flow calculation.</w:t>
            </w:r>
          </w:p>
          <w:p w14:paraId="3B59959A" w14:textId="77777777" w:rsidR="000E725A" w:rsidRDefault="000E725A" w:rsidP="000E725A">
            <w:pPr>
              <w:pStyle w:val="ListParagraph"/>
              <w:numPr>
                <w:ilvl w:val="0"/>
                <w:numId w:val="76"/>
              </w:numPr>
              <w:spacing w:after="0"/>
              <w:ind w:right="97"/>
              <w:jc w:val="both"/>
              <w:rPr>
                <w:rFonts w:asciiTheme="majorHAnsi" w:hAnsiTheme="majorHAnsi" w:cstheme="majorHAnsi"/>
                <w:color w:val="000000"/>
              </w:rPr>
            </w:pPr>
            <w:r w:rsidRPr="000E725A">
              <w:rPr>
                <w:rFonts w:asciiTheme="majorHAnsi" w:hAnsiTheme="majorHAnsi" w:cstheme="majorHAnsi"/>
                <w:color w:val="000000"/>
              </w:rPr>
              <w:t>Estimated remaining useful life of a unique piece of equipment</w:t>
            </w:r>
          </w:p>
          <w:p w14:paraId="665425B3" w14:textId="2E23802A" w:rsidR="000E725A" w:rsidRPr="00A11090" w:rsidRDefault="000E725A" w:rsidP="00A11090">
            <w:pPr>
              <w:pStyle w:val="ListParagraph"/>
              <w:numPr>
                <w:ilvl w:val="0"/>
                <w:numId w:val="76"/>
              </w:numPr>
              <w:spacing w:after="0"/>
              <w:ind w:right="97"/>
              <w:jc w:val="both"/>
              <w:rPr>
                <w:rFonts w:asciiTheme="majorHAnsi" w:hAnsiTheme="majorHAnsi" w:cstheme="majorHAnsi"/>
                <w:color w:val="000000"/>
              </w:rPr>
            </w:pPr>
            <w:r w:rsidRPr="000E725A">
              <w:rPr>
                <w:rFonts w:asciiTheme="majorHAnsi" w:hAnsiTheme="majorHAnsi" w:cstheme="majorHAnsi"/>
                <w:color w:val="000000"/>
              </w:rPr>
              <w:t>Cost to replace a bespoke production line with similar functionality</w:t>
            </w:r>
          </w:p>
        </w:tc>
      </w:tr>
    </w:tbl>
    <w:p w14:paraId="5E029D26" w14:textId="74F51D19" w:rsidR="002F1680" w:rsidRPr="00373D98" w:rsidRDefault="00AF1CEF" w:rsidP="00F4087B">
      <w:pPr>
        <w:pStyle w:val="Heading1"/>
        <w:numPr>
          <w:ilvl w:val="0"/>
          <w:numId w:val="15"/>
        </w:numPr>
        <w:rPr>
          <w:rFonts w:cstheme="majorHAnsi"/>
        </w:rPr>
      </w:pPr>
      <w:bookmarkStart w:id="15" w:name="_Toc213491717"/>
      <w:r w:rsidRPr="00373D98">
        <w:rPr>
          <w:rFonts w:cstheme="majorHAnsi"/>
        </w:rPr>
        <w:lastRenderedPageBreak/>
        <w:t>Valuation of Property, Plant and Equipment (PPE)</w:t>
      </w:r>
      <w:r w:rsidR="00047124" w:rsidRPr="00373D98">
        <w:rPr>
          <w:rFonts w:cstheme="majorHAnsi"/>
        </w:rPr>
        <w:t xml:space="preserve"> including Investment Properties</w:t>
      </w:r>
      <w:bookmarkEnd w:id="15"/>
    </w:p>
    <w:p w14:paraId="2B7CE08B" w14:textId="6235EA62" w:rsidR="00CD0856" w:rsidRPr="00373D98" w:rsidRDefault="00CD0856" w:rsidP="00CD0856">
      <w:pPr>
        <w:jc w:val="both"/>
        <w:rPr>
          <w:rFonts w:asciiTheme="majorHAnsi" w:hAnsiTheme="majorHAnsi" w:cstheme="majorHAnsi"/>
        </w:rPr>
      </w:pPr>
      <w:r w:rsidRPr="00373D98">
        <w:rPr>
          <w:rFonts w:asciiTheme="majorHAnsi" w:hAnsiTheme="majorHAnsi" w:cstheme="majorHAnsi"/>
        </w:rPr>
        <w:t xml:space="preserve">Property, plant and equipment covers the tangible assets that are usually held by an entity for use in the manufacturing/production or supply of goods or services, </w:t>
      </w:r>
      <w:r w:rsidR="00013109" w:rsidRPr="00373D98">
        <w:rPr>
          <w:rFonts w:asciiTheme="majorHAnsi" w:hAnsiTheme="majorHAnsi" w:cstheme="majorHAnsi"/>
        </w:rPr>
        <w:t xml:space="preserve">for rental by others </w:t>
      </w:r>
      <w:r w:rsidRPr="00373D98">
        <w:rPr>
          <w:rFonts w:asciiTheme="majorHAnsi" w:hAnsiTheme="majorHAnsi" w:cstheme="majorHAnsi"/>
        </w:rPr>
        <w:t xml:space="preserve">or for administrative purposes and that are expected to be used over </w:t>
      </w:r>
      <w:proofErr w:type="gramStart"/>
      <w:r w:rsidRPr="00373D98">
        <w:rPr>
          <w:rFonts w:asciiTheme="majorHAnsi" w:hAnsiTheme="majorHAnsi" w:cstheme="majorHAnsi"/>
        </w:rPr>
        <w:t>a period of time</w:t>
      </w:r>
      <w:proofErr w:type="gramEnd"/>
      <w:r w:rsidRPr="00373D98">
        <w:rPr>
          <w:rFonts w:asciiTheme="majorHAnsi" w:hAnsiTheme="majorHAnsi" w:cstheme="majorHAnsi"/>
        </w:rPr>
        <w:t>.</w:t>
      </w:r>
    </w:p>
    <w:p w14:paraId="1D31677A" w14:textId="4932CF5D" w:rsidR="00833656" w:rsidRPr="00373D98" w:rsidRDefault="00833656" w:rsidP="00F4087B">
      <w:pPr>
        <w:pStyle w:val="Heading3"/>
        <w:numPr>
          <w:ilvl w:val="1"/>
          <w:numId w:val="15"/>
        </w:numPr>
        <w:rPr>
          <w:rFonts w:cstheme="majorHAnsi"/>
        </w:rPr>
      </w:pPr>
      <w:bookmarkStart w:id="16" w:name="_Toc213491718"/>
      <w:r w:rsidRPr="00373D98">
        <w:rPr>
          <w:rFonts w:cstheme="majorHAnsi"/>
        </w:rPr>
        <w:t>Valuation of Property (Land and Buildings)</w:t>
      </w:r>
      <w:bookmarkEnd w:id="16"/>
    </w:p>
    <w:p w14:paraId="2146008E" w14:textId="77777777" w:rsidR="00B46354" w:rsidRPr="00373D98" w:rsidRDefault="00833656" w:rsidP="00B46354">
      <w:pPr>
        <w:jc w:val="both"/>
        <w:rPr>
          <w:rFonts w:asciiTheme="majorHAnsi" w:hAnsiTheme="majorHAnsi" w:cstheme="majorHAnsi"/>
        </w:rPr>
      </w:pPr>
      <w:r w:rsidRPr="00373D98">
        <w:rPr>
          <w:rFonts w:asciiTheme="majorHAnsi" w:hAnsiTheme="majorHAnsi" w:cstheme="majorHAnsi"/>
        </w:rPr>
        <w:t xml:space="preserve">To qualify for a property, the reporting entity shall </w:t>
      </w:r>
      <w:proofErr w:type="gramStart"/>
      <w:r w:rsidRPr="00373D98">
        <w:rPr>
          <w:rFonts w:asciiTheme="majorHAnsi" w:hAnsiTheme="majorHAnsi" w:cstheme="majorHAnsi"/>
        </w:rPr>
        <w:t>have</w:t>
      </w:r>
      <w:r w:rsidR="00B46354" w:rsidRPr="00373D98">
        <w:rPr>
          <w:rFonts w:asciiTheme="majorHAnsi" w:hAnsiTheme="majorHAnsi" w:cstheme="majorHAnsi"/>
        </w:rPr>
        <w:t>;</w:t>
      </w:r>
      <w:proofErr w:type="gramEnd"/>
    </w:p>
    <w:p w14:paraId="2A09F26A" w14:textId="1B1A4D7D" w:rsidR="00B46354" w:rsidRPr="00373D98" w:rsidRDefault="00833656" w:rsidP="00B46354">
      <w:pPr>
        <w:pStyle w:val="ListParagraph"/>
        <w:numPr>
          <w:ilvl w:val="0"/>
          <w:numId w:val="16"/>
        </w:numPr>
        <w:jc w:val="both"/>
        <w:rPr>
          <w:rFonts w:asciiTheme="majorHAnsi" w:hAnsiTheme="majorHAnsi" w:cstheme="majorHAnsi"/>
        </w:rPr>
      </w:pPr>
      <w:r w:rsidRPr="00373D98">
        <w:rPr>
          <w:rFonts w:asciiTheme="majorHAnsi" w:hAnsiTheme="majorHAnsi" w:cstheme="majorHAnsi"/>
        </w:rPr>
        <w:t xml:space="preserve">the superior </w:t>
      </w:r>
      <w:r w:rsidR="00B46354" w:rsidRPr="00373D98">
        <w:rPr>
          <w:rFonts w:asciiTheme="majorHAnsi" w:hAnsiTheme="majorHAnsi" w:cstheme="majorHAnsi"/>
        </w:rPr>
        <w:t>interest in any defined area of land. The owner of this interest has an absolute right of possession and control of the land and any buildings upon it in perpetuity, subject only to any subordinate interests and any statutory or other legally enforceable constraints,</w:t>
      </w:r>
    </w:p>
    <w:p w14:paraId="5CF6FA91" w14:textId="76C9B480" w:rsidR="00833656" w:rsidRPr="00373D98" w:rsidRDefault="00B46354" w:rsidP="00B46354">
      <w:pPr>
        <w:pStyle w:val="ListParagraph"/>
        <w:numPr>
          <w:ilvl w:val="0"/>
          <w:numId w:val="16"/>
        </w:numPr>
        <w:jc w:val="both"/>
        <w:rPr>
          <w:rFonts w:asciiTheme="majorHAnsi" w:hAnsiTheme="majorHAnsi" w:cstheme="majorHAnsi"/>
        </w:rPr>
      </w:pPr>
      <w:r w:rsidRPr="00373D98">
        <w:rPr>
          <w:rFonts w:asciiTheme="majorHAnsi" w:hAnsiTheme="majorHAnsi" w:cstheme="majorHAnsi"/>
        </w:rPr>
        <w:t xml:space="preserve">a subordinate interest that normally gives the holder rights of exclusive possession and control of a defined area of land (where the building is developed) for a defined period, </w:t>
      </w:r>
      <w:proofErr w:type="spellStart"/>
      <w:r w:rsidRPr="00373D98">
        <w:rPr>
          <w:rFonts w:asciiTheme="majorHAnsi" w:hAnsiTheme="majorHAnsi" w:cstheme="majorHAnsi"/>
        </w:rPr>
        <w:t>eg</w:t>
      </w:r>
      <w:proofErr w:type="spellEnd"/>
      <w:r w:rsidRPr="00373D98">
        <w:rPr>
          <w:rFonts w:asciiTheme="majorHAnsi" w:hAnsiTheme="majorHAnsi" w:cstheme="majorHAnsi"/>
        </w:rPr>
        <w:t>, under the terms of a lease contract</w:t>
      </w:r>
    </w:p>
    <w:p w14:paraId="4E13C1D8" w14:textId="69343CC7" w:rsidR="00036EEC" w:rsidRPr="00373D98" w:rsidRDefault="00036EEC" w:rsidP="00036EEC">
      <w:pPr>
        <w:jc w:val="both"/>
        <w:rPr>
          <w:rFonts w:asciiTheme="majorHAnsi" w:hAnsiTheme="majorHAnsi" w:cstheme="majorHAnsi"/>
        </w:rPr>
      </w:pPr>
      <w:r w:rsidRPr="00373D98">
        <w:rPr>
          <w:rFonts w:asciiTheme="majorHAnsi" w:hAnsiTheme="majorHAnsi" w:cstheme="majorHAnsi"/>
        </w:rPr>
        <w:t>Property is valued at fair value when entities adopt the revaluation model under IAS 16</w:t>
      </w:r>
      <w:r w:rsidR="00CD3BCC" w:rsidRPr="00373D98">
        <w:rPr>
          <w:rFonts w:asciiTheme="majorHAnsi" w:hAnsiTheme="majorHAnsi" w:cstheme="majorHAnsi"/>
        </w:rPr>
        <w:t xml:space="preserve"> or fair value model under IAS 40</w:t>
      </w:r>
      <w:r w:rsidRPr="00373D98">
        <w:rPr>
          <w:rFonts w:asciiTheme="majorHAnsi" w:hAnsiTheme="majorHAnsi" w:cstheme="majorHAnsi"/>
        </w:rPr>
        <w:t xml:space="preserve">. </w:t>
      </w:r>
      <w:proofErr w:type="gramStart"/>
      <w:r w:rsidRPr="00373D98">
        <w:rPr>
          <w:rFonts w:asciiTheme="majorHAnsi" w:hAnsiTheme="majorHAnsi" w:cstheme="majorHAnsi"/>
        </w:rPr>
        <w:t>Additionally</w:t>
      </w:r>
      <w:proofErr w:type="gramEnd"/>
      <w:r w:rsidRPr="00373D98">
        <w:rPr>
          <w:rFonts w:asciiTheme="majorHAnsi" w:hAnsiTheme="majorHAnsi" w:cstheme="majorHAnsi"/>
        </w:rPr>
        <w:t xml:space="preserve"> the measurement of fair value is also crucial in sale and purchase transactions various properties. The methodology of valuation is subjective to the asset and its circumstances.</w:t>
      </w:r>
      <w:r w:rsidR="00B669C3" w:rsidRPr="00373D98">
        <w:rPr>
          <w:rFonts w:asciiTheme="majorHAnsi" w:hAnsiTheme="majorHAnsi" w:cstheme="majorHAnsi"/>
        </w:rPr>
        <w:t xml:space="preserve"> ‘</w:t>
      </w:r>
      <w:r w:rsidR="00B669C3" w:rsidRPr="00373D98">
        <w:rPr>
          <w:rFonts w:asciiTheme="majorHAnsi" w:hAnsiTheme="majorHAnsi" w:cstheme="majorHAnsi"/>
          <w:b/>
          <w:bCs/>
          <w:i/>
          <w:iCs/>
        </w:rPr>
        <w:t>IVS 400 Real Property Interest’</w:t>
      </w:r>
      <w:r w:rsidR="00B669C3" w:rsidRPr="00373D98">
        <w:rPr>
          <w:rFonts w:asciiTheme="majorHAnsi" w:hAnsiTheme="majorHAnsi" w:cstheme="majorHAnsi"/>
        </w:rPr>
        <w:t xml:space="preserve"> shall be referred when conducting the valuation of properties.</w:t>
      </w:r>
    </w:p>
    <w:p w14:paraId="2549CEBC" w14:textId="7782257B" w:rsidR="00036EEC" w:rsidRPr="00373D98" w:rsidRDefault="00036EEC" w:rsidP="00F4087B">
      <w:pPr>
        <w:pStyle w:val="Heading3"/>
        <w:numPr>
          <w:ilvl w:val="2"/>
          <w:numId w:val="15"/>
        </w:numPr>
        <w:rPr>
          <w:rFonts w:cstheme="majorHAnsi"/>
        </w:rPr>
      </w:pPr>
      <w:bookmarkStart w:id="17" w:name="_Toc213491719"/>
      <w:r w:rsidRPr="00373D98">
        <w:rPr>
          <w:rFonts w:cstheme="majorHAnsi"/>
        </w:rPr>
        <w:t>Market approach</w:t>
      </w:r>
      <w:bookmarkEnd w:id="17"/>
      <w:r w:rsidRPr="00373D98">
        <w:rPr>
          <w:rFonts w:cstheme="majorHAnsi"/>
        </w:rPr>
        <w:t xml:space="preserve"> </w:t>
      </w:r>
    </w:p>
    <w:p w14:paraId="16543EDE" w14:textId="1AA509F7" w:rsidR="00036EEC" w:rsidRPr="00373D98" w:rsidRDefault="00036EEC" w:rsidP="00036EEC">
      <w:pPr>
        <w:jc w:val="both"/>
        <w:rPr>
          <w:rFonts w:asciiTheme="majorHAnsi" w:hAnsiTheme="majorHAnsi" w:cstheme="majorHAnsi"/>
        </w:rPr>
      </w:pPr>
      <w:r w:rsidRPr="00373D98">
        <w:rPr>
          <w:rFonts w:asciiTheme="majorHAnsi" w:hAnsiTheme="majorHAnsi" w:cstheme="majorHAnsi"/>
        </w:rPr>
        <w:t>Property interests are generally heterogeneous (</w:t>
      </w:r>
      <w:proofErr w:type="spellStart"/>
      <w:r w:rsidRPr="00373D98">
        <w:rPr>
          <w:rFonts w:asciiTheme="majorHAnsi" w:hAnsiTheme="majorHAnsi" w:cstheme="majorHAnsi"/>
        </w:rPr>
        <w:t>ie</w:t>
      </w:r>
      <w:proofErr w:type="spellEnd"/>
      <w:r w:rsidRPr="00373D98">
        <w:rPr>
          <w:rFonts w:asciiTheme="majorHAnsi" w:hAnsiTheme="majorHAnsi" w:cstheme="majorHAnsi"/>
        </w:rPr>
        <w:t xml:space="preserve">, with different characteristics). Even if the land and buildings have identical physical characteristics to others being exchanged in the market, the location will be different. Notwithstanding these dissimilarities, the market approach </w:t>
      </w:r>
      <w:r w:rsidR="00B669C3" w:rsidRPr="00373D98">
        <w:rPr>
          <w:rFonts w:asciiTheme="majorHAnsi" w:hAnsiTheme="majorHAnsi" w:cstheme="majorHAnsi"/>
        </w:rPr>
        <w:t xml:space="preserve">can be </w:t>
      </w:r>
      <w:r w:rsidRPr="00373D98">
        <w:rPr>
          <w:rFonts w:asciiTheme="majorHAnsi" w:hAnsiTheme="majorHAnsi" w:cstheme="majorHAnsi"/>
        </w:rPr>
        <w:t>applied for the valuation of real property interests.</w:t>
      </w:r>
    </w:p>
    <w:p w14:paraId="7F1B753D" w14:textId="4E1CBDE2" w:rsidR="00B669C3" w:rsidRPr="00373D98" w:rsidRDefault="00B669C3" w:rsidP="00036EEC">
      <w:pPr>
        <w:jc w:val="both"/>
        <w:rPr>
          <w:rFonts w:asciiTheme="majorHAnsi" w:hAnsiTheme="majorHAnsi" w:cstheme="majorHAnsi"/>
        </w:rPr>
      </w:pPr>
      <w:proofErr w:type="gramStart"/>
      <w:r w:rsidRPr="00373D98">
        <w:rPr>
          <w:rFonts w:asciiTheme="majorHAnsi" w:hAnsiTheme="majorHAnsi" w:cstheme="majorHAnsi"/>
        </w:rPr>
        <w:t>In order to</w:t>
      </w:r>
      <w:proofErr w:type="gramEnd"/>
      <w:r w:rsidRPr="00373D98">
        <w:rPr>
          <w:rFonts w:asciiTheme="majorHAnsi" w:hAnsiTheme="majorHAnsi" w:cstheme="majorHAnsi"/>
        </w:rPr>
        <w:t xml:space="preserve"> compare the subject of the valuation with the price of other real property interests, the valuer should adopt generally accepted and appropriate units of comparison that are considered by participants, dependent upon the type of asset being valued. </w:t>
      </w:r>
    </w:p>
    <w:p w14:paraId="6CD45482" w14:textId="167E1C96" w:rsidR="00B669C3" w:rsidRPr="00373D98" w:rsidRDefault="00B669C3" w:rsidP="00036EEC">
      <w:pPr>
        <w:jc w:val="both"/>
        <w:rPr>
          <w:rFonts w:asciiTheme="majorHAnsi" w:hAnsiTheme="majorHAnsi" w:cstheme="majorHAnsi"/>
        </w:rPr>
      </w:pPr>
      <w:r w:rsidRPr="00373D98">
        <w:rPr>
          <w:rFonts w:asciiTheme="majorHAnsi" w:hAnsiTheme="majorHAnsi" w:cstheme="majorHAnsi"/>
        </w:rPr>
        <w:t>Units of comparison that are commonly used might include:</w:t>
      </w:r>
    </w:p>
    <w:p w14:paraId="37EB7C67" w14:textId="12696404" w:rsidR="00B669C3" w:rsidRPr="00373D98" w:rsidRDefault="00B669C3" w:rsidP="00B669C3">
      <w:pPr>
        <w:pStyle w:val="ListParagraph"/>
        <w:numPr>
          <w:ilvl w:val="0"/>
          <w:numId w:val="17"/>
        </w:numPr>
        <w:jc w:val="both"/>
        <w:rPr>
          <w:rFonts w:asciiTheme="majorHAnsi" w:hAnsiTheme="majorHAnsi" w:cstheme="majorHAnsi"/>
        </w:rPr>
      </w:pPr>
      <w:r w:rsidRPr="00373D98">
        <w:rPr>
          <w:rFonts w:asciiTheme="majorHAnsi" w:hAnsiTheme="majorHAnsi" w:cstheme="majorHAnsi"/>
        </w:rPr>
        <w:t xml:space="preserve">price per square </w:t>
      </w:r>
      <w:proofErr w:type="spellStart"/>
      <w:r w:rsidRPr="00373D98">
        <w:rPr>
          <w:rFonts w:asciiTheme="majorHAnsi" w:hAnsiTheme="majorHAnsi" w:cstheme="majorHAnsi"/>
        </w:rPr>
        <w:t>metre</w:t>
      </w:r>
      <w:proofErr w:type="spellEnd"/>
      <w:r w:rsidRPr="00373D98">
        <w:rPr>
          <w:rFonts w:asciiTheme="majorHAnsi" w:hAnsiTheme="majorHAnsi" w:cstheme="majorHAnsi"/>
        </w:rPr>
        <w:t xml:space="preserve"> (or per square foot) of a building or per hectare (or per acre) for land,</w:t>
      </w:r>
    </w:p>
    <w:p w14:paraId="601051BC" w14:textId="2AEF4655" w:rsidR="00B669C3" w:rsidRPr="00373D98" w:rsidRDefault="00B669C3" w:rsidP="00B669C3">
      <w:pPr>
        <w:pStyle w:val="ListParagraph"/>
        <w:numPr>
          <w:ilvl w:val="0"/>
          <w:numId w:val="17"/>
        </w:numPr>
        <w:jc w:val="both"/>
        <w:rPr>
          <w:rFonts w:asciiTheme="majorHAnsi" w:hAnsiTheme="majorHAnsi" w:cstheme="majorHAnsi"/>
        </w:rPr>
      </w:pPr>
      <w:r w:rsidRPr="00373D98">
        <w:rPr>
          <w:rFonts w:asciiTheme="majorHAnsi" w:hAnsiTheme="majorHAnsi" w:cstheme="majorHAnsi"/>
        </w:rPr>
        <w:t>price per room, and</w:t>
      </w:r>
    </w:p>
    <w:p w14:paraId="7A69C3D7" w14:textId="546DAD2E" w:rsidR="00B669C3" w:rsidRPr="00373D98" w:rsidRDefault="00B669C3" w:rsidP="00B669C3">
      <w:pPr>
        <w:pStyle w:val="ListParagraph"/>
        <w:numPr>
          <w:ilvl w:val="0"/>
          <w:numId w:val="17"/>
        </w:numPr>
        <w:jc w:val="both"/>
        <w:rPr>
          <w:rFonts w:asciiTheme="majorHAnsi" w:hAnsiTheme="majorHAnsi" w:cstheme="majorHAnsi"/>
        </w:rPr>
      </w:pPr>
      <w:r w:rsidRPr="00373D98">
        <w:rPr>
          <w:rFonts w:asciiTheme="majorHAnsi" w:hAnsiTheme="majorHAnsi" w:cstheme="majorHAnsi"/>
        </w:rPr>
        <w:t>price per unit of output (</w:t>
      </w:r>
      <w:proofErr w:type="spellStart"/>
      <w:r w:rsidRPr="00373D98">
        <w:rPr>
          <w:rFonts w:asciiTheme="majorHAnsi" w:hAnsiTheme="majorHAnsi" w:cstheme="majorHAnsi"/>
        </w:rPr>
        <w:t>eg</w:t>
      </w:r>
      <w:proofErr w:type="spellEnd"/>
      <w:r w:rsidRPr="00373D98">
        <w:rPr>
          <w:rFonts w:asciiTheme="majorHAnsi" w:hAnsiTheme="majorHAnsi" w:cstheme="majorHAnsi"/>
        </w:rPr>
        <w:t>, megawatt, crop yields).</w:t>
      </w:r>
    </w:p>
    <w:p w14:paraId="244168F4" w14:textId="77777777" w:rsidR="00B669C3" w:rsidRPr="00373D98" w:rsidRDefault="00B669C3" w:rsidP="00B669C3">
      <w:pPr>
        <w:jc w:val="both"/>
        <w:rPr>
          <w:rFonts w:asciiTheme="majorHAnsi" w:hAnsiTheme="majorHAnsi" w:cstheme="majorHAnsi"/>
        </w:rPr>
      </w:pPr>
      <w:r w:rsidRPr="00373D98">
        <w:rPr>
          <w:rFonts w:asciiTheme="majorHAnsi" w:hAnsiTheme="majorHAnsi" w:cstheme="majorHAnsi"/>
        </w:rPr>
        <w:t>A unit of comparison is only useful when it is consistently selected and applied to the subject property and the comparable properties in each analysis. The reliance that can be applied to any comparable price data in the valuation is determined by comparing various characteristics of the property and transaction from which the data was derived with the property being valued.</w:t>
      </w:r>
    </w:p>
    <w:p w14:paraId="70F3F943" w14:textId="20074424" w:rsidR="00B669C3" w:rsidRPr="00373D98" w:rsidRDefault="00B669C3" w:rsidP="00B669C3">
      <w:pPr>
        <w:jc w:val="both"/>
        <w:rPr>
          <w:rFonts w:asciiTheme="majorHAnsi" w:hAnsiTheme="majorHAnsi" w:cstheme="majorHAnsi"/>
        </w:rPr>
      </w:pPr>
      <w:r w:rsidRPr="00373D98">
        <w:rPr>
          <w:rFonts w:asciiTheme="majorHAnsi" w:hAnsiTheme="majorHAnsi" w:cstheme="majorHAnsi"/>
        </w:rPr>
        <w:lastRenderedPageBreak/>
        <w:t>Specific differences that should be considered in valuing propert</w:t>
      </w:r>
      <w:r w:rsidR="004035B3" w:rsidRPr="00373D98">
        <w:rPr>
          <w:rFonts w:asciiTheme="majorHAnsi" w:hAnsiTheme="majorHAnsi" w:cstheme="majorHAnsi"/>
        </w:rPr>
        <w:t>ies</w:t>
      </w:r>
      <w:r w:rsidRPr="00373D98">
        <w:rPr>
          <w:rFonts w:asciiTheme="majorHAnsi" w:hAnsiTheme="majorHAnsi" w:cstheme="majorHAnsi"/>
        </w:rPr>
        <w:t xml:space="preserve"> include, but are not limited to:</w:t>
      </w:r>
    </w:p>
    <w:p w14:paraId="5AAE6A43" w14:textId="27CCE169" w:rsidR="00B669C3" w:rsidRPr="00373D98" w:rsidRDefault="00B669C3" w:rsidP="004035B3">
      <w:pPr>
        <w:pStyle w:val="ListParagraph"/>
        <w:numPr>
          <w:ilvl w:val="0"/>
          <w:numId w:val="19"/>
        </w:numPr>
        <w:jc w:val="both"/>
        <w:rPr>
          <w:rFonts w:asciiTheme="majorHAnsi" w:hAnsiTheme="majorHAnsi" w:cstheme="majorHAnsi"/>
        </w:rPr>
      </w:pPr>
      <w:r w:rsidRPr="00373D98">
        <w:rPr>
          <w:rFonts w:asciiTheme="majorHAnsi" w:hAnsiTheme="majorHAnsi" w:cstheme="majorHAnsi"/>
        </w:rPr>
        <w:t xml:space="preserve">the type of </w:t>
      </w:r>
      <w:r w:rsidR="004035B3" w:rsidRPr="00373D98">
        <w:rPr>
          <w:rFonts w:asciiTheme="majorHAnsi" w:hAnsiTheme="majorHAnsi" w:cstheme="majorHAnsi"/>
        </w:rPr>
        <w:t>property</w:t>
      </w:r>
      <w:r w:rsidRPr="00373D98">
        <w:rPr>
          <w:rFonts w:asciiTheme="majorHAnsi" w:hAnsiTheme="majorHAnsi" w:cstheme="majorHAnsi"/>
        </w:rPr>
        <w:t xml:space="preserve"> providing the price evidence and the type of </w:t>
      </w:r>
      <w:r w:rsidR="004035B3" w:rsidRPr="00373D98">
        <w:rPr>
          <w:rFonts w:asciiTheme="majorHAnsi" w:hAnsiTheme="majorHAnsi" w:cstheme="majorHAnsi"/>
        </w:rPr>
        <w:t>property</w:t>
      </w:r>
      <w:r w:rsidRPr="00373D98">
        <w:rPr>
          <w:rFonts w:asciiTheme="majorHAnsi" w:hAnsiTheme="majorHAnsi" w:cstheme="majorHAnsi"/>
        </w:rPr>
        <w:t xml:space="preserve"> being valued,</w:t>
      </w:r>
    </w:p>
    <w:p w14:paraId="702F6DF8" w14:textId="6D1C8C7E" w:rsidR="00B669C3" w:rsidRPr="00373D98" w:rsidRDefault="00B669C3" w:rsidP="004035B3">
      <w:pPr>
        <w:pStyle w:val="ListParagraph"/>
        <w:numPr>
          <w:ilvl w:val="0"/>
          <w:numId w:val="19"/>
        </w:numPr>
        <w:jc w:val="both"/>
        <w:rPr>
          <w:rFonts w:asciiTheme="majorHAnsi" w:hAnsiTheme="majorHAnsi" w:cstheme="majorHAnsi"/>
        </w:rPr>
      </w:pPr>
      <w:r w:rsidRPr="00373D98">
        <w:rPr>
          <w:rFonts w:asciiTheme="majorHAnsi" w:hAnsiTheme="majorHAnsi" w:cstheme="majorHAnsi"/>
        </w:rPr>
        <w:t>the respective locations,</w:t>
      </w:r>
    </w:p>
    <w:p w14:paraId="669AB6EE" w14:textId="6BDA53E3" w:rsidR="00B669C3" w:rsidRPr="00373D98" w:rsidRDefault="00B669C3" w:rsidP="004035B3">
      <w:pPr>
        <w:pStyle w:val="ListParagraph"/>
        <w:numPr>
          <w:ilvl w:val="0"/>
          <w:numId w:val="19"/>
        </w:numPr>
        <w:jc w:val="both"/>
        <w:rPr>
          <w:rFonts w:asciiTheme="majorHAnsi" w:hAnsiTheme="majorHAnsi" w:cstheme="majorHAnsi"/>
        </w:rPr>
      </w:pPr>
      <w:r w:rsidRPr="00373D98">
        <w:rPr>
          <w:rFonts w:asciiTheme="majorHAnsi" w:hAnsiTheme="majorHAnsi" w:cstheme="majorHAnsi"/>
        </w:rPr>
        <w:t>the respective quality of the land,</w:t>
      </w:r>
    </w:p>
    <w:p w14:paraId="5868C1C5" w14:textId="3DD2F441" w:rsidR="00B669C3" w:rsidRPr="00373D98" w:rsidRDefault="00B669C3" w:rsidP="004035B3">
      <w:pPr>
        <w:pStyle w:val="ListParagraph"/>
        <w:numPr>
          <w:ilvl w:val="0"/>
          <w:numId w:val="19"/>
        </w:numPr>
        <w:jc w:val="both"/>
        <w:rPr>
          <w:rFonts w:asciiTheme="majorHAnsi" w:hAnsiTheme="majorHAnsi" w:cstheme="majorHAnsi"/>
        </w:rPr>
      </w:pPr>
      <w:r w:rsidRPr="00373D98">
        <w:rPr>
          <w:rFonts w:asciiTheme="majorHAnsi" w:hAnsiTheme="majorHAnsi" w:cstheme="majorHAnsi"/>
        </w:rPr>
        <w:t>the age and specification of the improvements,</w:t>
      </w:r>
    </w:p>
    <w:p w14:paraId="2553AFD8" w14:textId="1581CAEE" w:rsidR="00B669C3" w:rsidRPr="00373D98" w:rsidRDefault="00B669C3" w:rsidP="004035B3">
      <w:pPr>
        <w:pStyle w:val="ListParagraph"/>
        <w:numPr>
          <w:ilvl w:val="0"/>
          <w:numId w:val="19"/>
        </w:numPr>
        <w:rPr>
          <w:rFonts w:asciiTheme="majorHAnsi" w:hAnsiTheme="majorHAnsi" w:cstheme="majorHAnsi"/>
        </w:rPr>
      </w:pPr>
      <w:r w:rsidRPr="00373D98">
        <w:rPr>
          <w:rFonts w:asciiTheme="majorHAnsi" w:hAnsiTheme="majorHAnsi" w:cstheme="majorHAnsi"/>
        </w:rPr>
        <w:t>the permitted use or zoning at each property,</w:t>
      </w:r>
    </w:p>
    <w:p w14:paraId="4ED0D710" w14:textId="77777777" w:rsidR="004035B3" w:rsidRPr="00373D98" w:rsidRDefault="004035B3" w:rsidP="004035B3">
      <w:pPr>
        <w:pStyle w:val="ListParagraph"/>
        <w:numPr>
          <w:ilvl w:val="0"/>
          <w:numId w:val="19"/>
        </w:numPr>
        <w:rPr>
          <w:rFonts w:asciiTheme="majorHAnsi" w:hAnsiTheme="majorHAnsi" w:cstheme="majorHAnsi"/>
        </w:rPr>
      </w:pPr>
      <w:r w:rsidRPr="00373D98">
        <w:rPr>
          <w:rFonts w:asciiTheme="majorHAnsi" w:hAnsiTheme="majorHAnsi" w:cstheme="majorHAnsi"/>
        </w:rPr>
        <w:t>the circumstances under which the price was determined and the basis</w:t>
      </w:r>
    </w:p>
    <w:p w14:paraId="3CD75748" w14:textId="77777777" w:rsidR="004035B3" w:rsidRPr="00373D98" w:rsidRDefault="004035B3" w:rsidP="004035B3">
      <w:pPr>
        <w:pStyle w:val="ListParagraph"/>
        <w:numPr>
          <w:ilvl w:val="0"/>
          <w:numId w:val="19"/>
        </w:numPr>
        <w:rPr>
          <w:rFonts w:asciiTheme="majorHAnsi" w:hAnsiTheme="majorHAnsi" w:cstheme="majorHAnsi"/>
        </w:rPr>
      </w:pPr>
      <w:r w:rsidRPr="00373D98">
        <w:rPr>
          <w:rFonts w:asciiTheme="majorHAnsi" w:hAnsiTheme="majorHAnsi" w:cstheme="majorHAnsi"/>
        </w:rPr>
        <w:t>of value required,</w:t>
      </w:r>
    </w:p>
    <w:p w14:paraId="2C3C3029" w14:textId="77777777" w:rsidR="004035B3" w:rsidRPr="00373D98" w:rsidRDefault="004035B3" w:rsidP="004035B3">
      <w:pPr>
        <w:pStyle w:val="ListParagraph"/>
        <w:numPr>
          <w:ilvl w:val="0"/>
          <w:numId w:val="19"/>
        </w:numPr>
        <w:rPr>
          <w:rFonts w:asciiTheme="majorHAnsi" w:hAnsiTheme="majorHAnsi" w:cstheme="majorHAnsi"/>
        </w:rPr>
      </w:pPr>
      <w:r w:rsidRPr="00373D98">
        <w:rPr>
          <w:rFonts w:asciiTheme="majorHAnsi" w:hAnsiTheme="majorHAnsi" w:cstheme="majorHAnsi"/>
        </w:rPr>
        <w:t>the effective date of the price evidence and the valuation date, and</w:t>
      </w:r>
    </w:p>
    <w:p w14:paraId="09D9A0C3" w14:textId="1E6FC64D" w:rsidR="004035B3" w:rsidRPr="00373D98" w:rsidRDefault="004035B3" w:rsidP="004035B3">
      <w:pPr>
        <w:pStyle w:val="ListParagraph"/>
        <w:numPr>
          <w:ilvl w:val="0"/>
          <w:numId w:val="19"/>
        </w:numPr>
        <w:rPr>
          <w:rFonts w:asciiTheme="majorHAnsi" w:hAnsiTheme="majorHAnsi" w:cstheme="majorHAnsi"/>
        </w:rPr>
      </w:pPr>
      <w:r w:rsidRPr="00373D98">
        <w:rPr>
          <w:rFonts w:asciiTheme="majorHAnsi" w:hAnsiTheme="majorHAnsi" w:cstheme="majorHAnsi"/>
        </w:rPr>
        <w:t>market conditions at the time of the relevant transactions and how they differ from conditions at the valuation date.</w:t>
      </w:r>
    </w:p>
    <w:p w14:paraId="1360D9F5" w14:textId="77777777" w:rsidR="004035B3" w:rsidRPr="00373D98" w:rsidRDefault="004035B3" w:rsidP="004035B3">
      <w:pPr>
        <w:jc w:val="both"/>
        <w:rPr>
          <w:rFonts w:asciiTheme="majorHAnsi" w:hAnsiTheme="majorHAnsi" w:cstheme="majorHAnsi"/>
        </w:rPr>
      </w:pPr>
    </w:p>
    <w:p w14:paraId="34B080FF" w14:textId="616A3573" w:rsidR="004035B3" w:rsidRPr="00373D98" w:rsidRDefault="004035B3" w:rsidP="00F4087B">
      <w:pPr>
        <w:pStyle w:val="Heading3"/>
        <w:numPr>
          <w:ilvl w:val="2"/>
          <w:numId w:val="15"/>
        </w:numPr>
        <w:rPr>
          <w:rFonts w:cstheme="majorHAnsi"/>
        </w:rPr>
      </w:pPr>
      <w:bookmarkStart w:id="18" w:name="_Toc213491720"/>
      <w:r w:rsidRPr="00373D98">
        <w:rPr>
          <w:rFonts w:cstheme="majorHAnsi"/>
        </w:rPr>
        <w:t>Income Approach</w:t>
      </w:r>
      <w:bookmarkEnd w:id="18"/>
    </w:p>
    <w:p w14:paraId="3D43BD33" w14:textId="269D2466" w:rsidR="004035B3" w:rsidRPr="00373D98" w:rsidRDefault="00013109" w:rsidP="00ED26C5">
      <w:pPr>
        <w:jc w:val="both"/>
        <w:rPr>
          <w:rFonts w:asciiTheme="majorHAnsi" w:hAnsiTheme="majorHAnsi" w:cstheme="majorHAnsi"/>
        </w:rPr>
      </w:pPr>
      <w:r w:rsidRPr="00373D98">
        <w:rPr>
          <w:rFonts w:asciiTheme="majorHAnsi" w:hAnsiTheme="majorHAnsi" w:cstheme="majorHAnsi"/>
        </w:rPr>
        <w:t>Under income approach value of the property is based upon an actual or estimated income that either is, or could be, generated by an owner of the property.</w:t>
      </w:r>
      <w:r w:rsidR="0089666D" w:rsidRPr="00373D98">
        <w:rPr>
          <w:rFonts w:asciiTheme="majorHAnsi" w:hAnsiTheme="majorHAnsi" w:cstheme="majorHAnsi"/>
        </w:rPr>
        <w:t xml:space="preserve"> In the case of an investment property, that income could be in the form of rent; in an owner-occupied building, it could be an assumed rent (or rent saved) based on what it would cost the owner to lease equivalent space.</w:t>
      </w:r>
    </w:p>
    <w:p w14:paraId="46FC4BFD" w14:textId="62DFC790" w:rsidR="0089666D" w:rsidRPr="00373D98" w:rsidRDefault="0089666D" w:rsidP="00ED26C5">
      <w:pPr>
        <w:jc w:val="both"/>
        <w:rPr>
          <w:rFonts w:asciiTheme="majorHAnsi" w:hAnsiTheme="majorHAnsi" w:cstheme="majorHAnsi"/>
        </w:rPr>
      </w:pPr>
      <w:r w:rsidRPr="00373D98">
        <w:rPr>
          <w:rFonts w:asciiTheme="majorHAnsi" w:hAnsiTheme="majorHAnsi" w:cstheme="majorHAnsi"/>
        </w:rPr>
        <w:t xml:space="preserve">The income-generating ability of the property should be closely tied to a particular use or business/trading activity (for example, cinemas, cafés, clinics, hotels, </w:t>
      </w:r>
      <w:proofErr w:type="spellStart"/>
      <w:r w:rsidRPr="00373D98">
        <w:rPr>
          <w:rFonts w:asciiTheme="majorHAnsi" w:hAnsiTheme="majorHAnsi" w:cstheme="majorHAnsi"/>
        </w:rPr>
        <w:t>etc</w:t>
      </w:r>
      <w:proofErr w:type="spellEnd"/>
      <w:r w:rsidRPr="00373D98">
        <w:rPr>
          <w:rFonts w:asciiTheme="majorHAnsi" w:hAnsiTheme="majorHAnsi" w:cstheme="majorHAnsi"/>
        </w:rPr>
        <w:t>). Where a building is suitable for only a particular type of trading activity, the income is often related to the actual or potential cash flows that would accrue to the owner of that building from the trading activity.</w:t>
      </w:r>
    </w:p>
    <w:p w14:paraId="0D344947" w14:textId="77777777" w:rsidR="00643D6D" w:rsidRPr="00373D98" w:rsidRDefault="00643D6D" w:rsidP="00643D6D">
      <w:pPr>
        <w:spacing w:before="240"/>
        <w:jc w:val="both"/>
        <w:rPr>
          <w:rFonts w:asciiTheme="majorHAnsi" w:hAnsiTheme="majorHAnsi" w:cstheme="majorHAnsi"/>
        </w:rPr>
      </w:pPr>
      <w:r w:rsidRPr="00373D98">
        <w:rPr>
          <w:rFonts w:asciiTheme="majorHAnsi" w:hAnsiTheme="majorHAnsi" w:cstheme="majorHAnsi"/>
        </w:rPr>
        <w:t>When the potential income used in the income approach represents cash flow from a business/trading activity (rather than cash flow related to rent, maintenance and other real property-specific costs), and includes intangible assets then this is no longer solely a real property valuation and the valuer should also comply as appropriate with the requirements of IVS 200 Businesses and Business Interests and, where applicable, IVS 210 Intangible Assets.</w:t>
      </w:r>
    </w:p>
    <w:p w14:paraId="3106F898" w14:textId="58A8AD40" w:rsidR="00643D6D" w:rsidRPr="00373D98" w:rsidRDefault="00643D6D" w:rsidP="00643D6D">
      <w:pPr>
        <w:spacing w:before="240"/>
        <w:jc w:val="both"/>
        <w:rPr>
          <w:rFonts w:asciiTheme="majorHAnsi" w:hAnsiTheme="majorHAnsi" w:cstheme="majorHAnsi"/>
        </w:rPr>
      </w:pPr>
      <w:r w:rsidRPr="00373D98">
        <w:rPr>
          <w:rFonts w:asciiTheme="majorHAnsi" w:hAnsiTheme="majorHAnsi" w:cstheme="majorHAnsi"/>
        </w:rPr>
        <w:t>Income approach should be applied and afforded significant weight under the following circumstances:</w:t>
      </w:r>
    </w:p>
    <w:p w14:paraId="4B19C122" w14:textId="77777777" w:rsidR="007104C5" w:rsidRPr="00373D98" w:rsidRDefault="007104C5" w:rsidP="007104C5">
      <w:pPr>
        <w:pStyle w:val="ListParagraph"/>
        <w:numPr>
          <w:ilvl w:val="8"/>
          <w:numId w:val="22"/>
        </w:numPr>
        <w:spacing w:before="240"/>
        <w:ind w:left="720"/>
        <w:jc w:val="both"/>
        <w:rPr>
          <w:rFonts w:asciiTheme="majorHAnsi" w:hAnsiTheme="majorHAnsi" w:cstheme="majorHAnsi"/>
        </w:rPr>
      </w:pPr>
      <w:r w:rsidRPr="00373D98">
        <w:rPr>
          <w:rFonts w:asciiTheme="majorHAnsi" w:hAnsiTheme="majorHAnsi" w:cstheme="majorHAnsi"/>
        </w:rPr>
        <w:t>the income-producing ability of the asset is the critical element affecting value from a participant perspective, and/or</w:t>
      </w:r>
    </w:p>
    <w:p w14:paraId="168DC0AC" w14:textId="53348CCA" w:rsidR="002F1680" w:rsidRPr="00373D98" w:rsidRDefault="007104C5" w:rsidP="007104C5">
      <w:pPr>
        <w:pStyle w:val="ListParagraph"/>
        <w:numPr>
          <w:ilvl w:val="8"/>
          <w:numId w:val="22"/>
        </w:numPr>
        <w:spacing w:before="240"/>
        <w:ind w:left="720"/>
        <w:jc w:val="both"/>
        <w:rPr>
          <w:rFonts w:asciiTheme="majorHAnsi" w:hAnsiTheme="majorHAnsi" w:cstheme="majorHAnsi"/>
        </w:rPr>
      </w:pPr>
      <w:r w:rsidRPr="00373D98">
        <w:rPr>
          <w:rFonts w:asciiTheme="majorHAnsi" w:hAnsiTheme="majorHAnsi" w:cstheme="majorHAnsi"/>
        </w:rPr>
        <w:t>reasonable projections of the amount and timing of future income are available for the subject asset, but there are no relevant and reliable market comparable</w:t>
      </w:r>
      <w:r w:rsidRPr="00373D98">
        <w:rPr>
          <w:rFonts w:asciiTheme="majorHAnsi" w:hAnsiTheme="majorHAnsi" w:cstheme="majorHAnsi"/>
        </w:rPr>
        <w:tab/>
      </w:r>
    </w:p>
    <w:p w14:paraId="1836936F" w14:textId="20A01B4A" w:rsidR="00F81150" w:rsidRPr="00373D98" w:rsidRDefault="00F81150" w:rsidP="00F81150">
      <w:pPr>
        <w:spacing w:before="240"/>
        <w:jc w:val="both"/>
        <w:rPr>
          <w:rFonts w:asciiTheme="majorHAnsi" w:hAnsiTheme="majorHAnsi" w:cstheme="majorHAnsi"/>
        </w:rPr>
      </w:pPr>
      <w:r w:rsidRPr="00373D98">
        <w:rPr>
          <w:rFonts w:asciiTheme="majorHAnsi" w:hAnsiTheme="majorHAnsi" w:cstheme="majorHAnsi"/>
        </w:rPr>
        <w:t xml:space="preserve">For the valuation of properties, various forms of discounted cash flow models may be used. These vary in detail but share the basic characteristic that the cash flow for a defined future period is adjusted to a present value using a discount rate. The sum of the </w:t>
      </w:r>
      <w:proofErr w:type="gramStart"/>
      <w:r w:rsidRPr="00373D98">
        <w:rPr>
          <w:rFonts w:asciiTheme="majorHAnsi" w:hAnsiTheme="majorHAnsi" w:cstheme="majorHAnsi"/>
        </w:rPr>
        <w:t>present day</w:t>
      </w:r>
      <w:proofErr w:type="gramEnd"/>
      <w:r w:rsidRPr="00373D98">
        <w:rPr>
          <w:rFonts w:asciiTheme="majorHAnsi" w:hAnsiTheme="majorHAnsi" w:cstheme="majorHAnsi"/>
        </w:rPr>
        <w:t xml:space="preserve"> values for the </w:t>
      </w:r>
      <w:r w:rsidRPr="00373D98">
        <w:rPr>
          <w:rFonts w:asciiTheme="majorHAnsi" w:hAnsiTheme="majorHAnsi" w:cstheme="majorHAnsi"/>
        </w:rPr>
        <w:lastRenderedPageBreak/>
        <w:t>individual periods represents an estimate of the property value. The discount rate in a discounted cash flow model will be based on the time value of money and the risks and rewards of the income stream in question.</w:t>
      </w:r>
    </w:p>
    <w:p w14:paraId="4A87D950" w14:textId="51C095B9" w:rsidR="007104C5" w:rsidRPr="00373D98" w:rsidRDefault="007104C5" w:rsidP="00F4087B">
      <w:pPr>
        <w:pStyle w:val="Heading4"/>
        <w:numPr>
          <w:ilvl w:val="3"/>
          <w:numId w:val="15"/>
        </w:numPr>
        <w:rPr>
          <w:rFonts w:cstheme="majorHAnsi"/>
        </w:rPr>
      </w:pPr>
      <w:bookmarkStart w:id="19" w:name="_Toc213491721"/>
      <w:r w:rsidRPr="00373D98">
        <w:rPr>
          <w:rFonts w:cstheme="majorHAnsi"/>
        </w:rPr>
        <w:t>Discounted Cash Flow (DCF) method</w:t>
      </w:r>
      <w:bookmarkEnd w:id="19"/>
    </w:p>
    <w:p w14:paraId="77758328" w14:textId="63FA95AE" w:rsidR="007104C5" w:rsidRPr="00373D98" w:rsidRDefault="00F81150" w:rsidP="00F81150">
      <w:pPr>
        <w:spacing w:before="240"/>
        <w:jc w:val="both"/>
        <w:rPr>
          <w:rFonts w:asciiTheme="majorHAnsi" w:hAnsiTheme="majorHAnsi" w:cstheme="majorHAnsi"/>
        </w:rPr>
      </w:pPr>
      <w:r w:rsidRPr="00373D98">
        <w:rPr>
          <w:rFonts w:asciiTheme="majorHAnsi" w:hAnsiTheme="majorHAnsi" w:cstheme="majorHAnsi"/>
        </w:rPr>
        <w:t>Under the DCF method the forecasted cash flow is discounted back to the valuation date, resulting in a present value of the asset.</w:t>
      </w:r>
    </w:p>
    <w:p w14:paraId="16BF0CD8" w14:textId="020612A0" w:rsidR="00F81150" w:rsidRPr="00373D98" w:rsidRDefault="00656DF4" w:rsidP="00F81150">
      <w:pPr>
        <w:spacing w:before="240"/>
        <w:jc w:val="both"/>
        <w:rPr>
          <w:rFonts w:asciiTheme="majorHAnsi" w:hAnsiTheme="majorHAnsi" w:cstheme="majorHAnsi"/>
        </w:rPr>
      </w:pPr>
      <w:r w:rsidRPr="00373D98">
        <w:rPr>
          <w:rFonts w:asciiTheme="majorHAnsi" w:hAnsiTheme="majorHAnsi" w:cstheme="majorHAnsi"/>
        </w:rPr>
        <w:t>F</w:t>
      </w:r>
      <w:r w:rsidR="00F81150" w:rsidRPr="00373D98">
        <w:rPr>
          <w:rFonts w:asciiTheme="majorHAnsi" w:hAnsiTheme="majorHAnsi" w:cstheme="majorHAnsi"/>
        </w:rPr>
        <w:t>or long-lived or indefinite-lived assets, DCF may include a terminal value which represents the value of the asset at the end of the explicit projection period</w:t>
      </w:r>
      <w:r w:rsidRPr="00373D98">
        <w:rPr>
          <w:rFonts w:asciiTheme="majorHAnsi" w:hAnsiTheme="majorHAnsi" w:cstheme="majorHAnsi"/>
        </w:rPr>
        <w:t xml:space="preserve"> (example: in the case of valuing a building)</w:t>
      </w:r>
      <w:r w:rsidR="00F81150" w:rsidRPr="00373D98">
        <w:rPr>
          <w:rFonts w:asciiTheme="majorHAnsi" w:hAnsiTheme="majorHAnsi" w:cstheme="majorHAnsi"/>
        </w:rPr>
        <w:t>. In other circumstances, the value of an asset may be calculated solely using a terminal value with no explicit projection period</w:t>
      </w:r>
      <w:r w:rsidRPr="00373D98">
        <w:rPr>
          <w:rFonts w:asciiTheme="majorHAnsi" w:hAnsiTheme="majorHAnsi" w:cstheme="majorHAnsi"/>
        </w:rPr>
        <w:t xml:space="preserve"> (example: in the case of valuing a land)</w:t>
      </w:r>
      <w:r w:rsidR="00F81150" w:rsidRPr="00373D98">
        <w:rPr>
          <w:rFonts w:asciiTheme="majorHAnsi" w:hAnsiTheme="majorHAnsi" w:cstheme="majorHAnsi"/>
        </w:rPr>
        <w:t xml:space="preserve">. This is sometimes referred to as an income </w:t>
      </w:r>
      <w:proofErr w:type="spellStart"/>
      <w:r w:rsidR="00F81150" w:rsidRPr="00373D98">
        <w:rPr>
          <w:rFonts w:asciiTheme="majorHAnsi" w:hAnsiTheme="majorHAnsi" w:cstheme="majorHAnsi"/>
        </w:rPr>
        <w:t>capitalisation</w:t>
      </w:r>
      <w:proofErr w:type="spellEnd"/>
      <w:r w:rsidR="00F81150" w:rsidRPr="00373D98">
        <w:rPr>
          <w:rFonts w:asciiTheme="majorHAnsi" w:hAnsiTheme="majorHAnsi" w:cstheme="majorHAnsi"/>
        </w:rPr>
        <w:t xml:space="preserve"> method.</w:t>
      </w:r>
    </w:p>
    <w:p w14:paraId="7E758022" w14:textId="77777777" w:rsidR="00656DF4" w:rsidRPr="00373D98" w:rsidRDefault="00656DF4" w:rsidP="00656DF4">
      <w:pPr>
        <w:spacing w:before="240"/>
        <w:rPr>
          <w:rFonts w:asciiTheme="majorHAnsi" w:hAnsiTheme="majorHAnsi" w:cstheme="majorHAnsi"/>
        </w:rPr>
      </w:pPr>
      <w:r w:rsidRPr="00373D98">
        <w:rPr>
          <w:rFonts w:asciiTheme="majorHAnsi" w:hAnsiTheme="majorHAnsi" w:cstheme="majorHAnsi"/>
          <w:b/>
          <w:bCs/>
          <w:i/>
          <w:iCs/>
        </w:rPr>
        <w:t>The key steps in the DCF method are</w:t>
      </w:r>
      <w:r w:rsidRPr="00373D98">
        <w:rPr>
          <w:rFonts w:asciiTheme="majorHAnsi" w:hAnsiTheme="majorHAnsi" w:cstheme="majorHAnsi"/>
        </w:rPr>
        <w:t>:</w:t>
      </w:r>
    </w:p>
    <w:p w14:paraId="7CC1A729" w14:textId="5F0EBA14" w:rsidR="00656DF4" w:rsidRPr="00373D98" w:rsidRDefault="00656DF4" w:rsidP="00656DF4">
      <w:pPr>
        <w:pStyle w:val="ListParagraph"/>
        <w:numPr>
          <w:ilvl w:val="0"/>
          <w:numId w:val="23"/>
        </w:numPr>
        <w:spacing w:before="240"/>
        <w:rPr>
          <w:rFonts w:asciiTheme="majorHAnsi" w:hAnsiTheme="majorHAnsi" w:cstheme="majorHAnsi"/>
        </w:rPr>
      </w:pPr>
      <w:r w:rsidRPr="00373D98">
        <w:rPr>
          <w:rFonts w:asciiTheme="majorHAnsi" w:hAnsiTheme="majorHAnsi" w:cstheme="majorHAnsi"/>
        </w:rPr>
        <w:t>choose the most appropriate type of cash flow for the nature of the subject asset and the valuation (</w:t>
      </w:r>
      <w:proofErr w:type="spellStart"/>
      <w:r w:rsidRPr="00373D98">
        <w:rPr>
          <w:rFonts w:asciiTheme="majorHAnsi" w:hAnsiTheme="majorHAnsi" w:cstheme="majorHAnsi"/>
        </w:rPr>
        <w:t>ie</w:t>
      </w:r>
      <w:proofErr w:type="spellEnd"/>
      <w:r w:rsidRPr="00373D98">
        <w:rPr>
          <w:rFonts w:asciiTheme="majorHAnsi" w:hAnsiTheme="majorHAnsi" w:cstheme="majorHAnsi"/>
        </w:rPr>
        <w:t xml:space="preserve">, pre-tax or post-tax, total cash flows or cash flows to equity, real or nominal, </w:t>
      </w:r>
      <w:proofErr w:type="spellStart"/>
      <w:r w:rsidRPr="00373D98">
        <w:rPr>
          <w:rFonts w:asciiTheme="majorHAnsi" w:hAnsiTheme="majorHAnsi" w:cstheme="majorHAnsi"/>
        </w:rPr>
        <w:t>etc</w:t>
      </w:r>
      <w:proofErr w:type="spellEnd"/>
      <w:r w:rsidRPr="00373D98">
        <w:rPr>
          <w:rFonts w:asciiTheme="majorHAnsi" w:hAnsiTheme="majorHAnsi" w:cstheme="majorHAnsi"/>
        </w:rPr>
        <w:t>),</w:t>
      </w:r>
    </w:p>
    <w:p w14:paraId="2C36D831" w14:textId="5B9AAC03" w:rsidR="00656DF4" w:rsidRPr="00373D98" w:rsidRDefault="00656DF4" w:rsidP="00656DF4">
      <w:pPr>
        <w:pStyle w:val="ListParagraph"/>
        <w:numPr>
          <w:ilvl w:val="0"/>
          <w:numId w:val="23"/>
        </w:numPr>
        <w:spacing w:before="240"/>
        <w:rPr>
          <w:rFonts w:asciiTheme="majorHAnsi" w:hAnsiTheme="majorHAnsi" w:cstheme="majorHAnsi"/>
        </w:rPr>
      </w:pPr>
      <w:r w:rsidRPr="47B86808">
        <w:rPr>
          <w:rFonts w:asciiTheme="majorHAnsi" w:hAnsiTheme="majorHAnsi" w:cstheme="majorBidi"/>
        </w:rPr>
        <w:t xml:space="preserve">determine the most appropriate </w:t>
      </w:r>
      <w:r w:rsidRPr="00A11090">
        <w:rPr>
          <w:rFonts w:asciiTheme="majorHAnsi" w:hAnsiTheme="majorHAnsi" w:cstheme="majorBidi"/>
        </w:rPr>
        <w:t>explicit period</w:t>
      </w:r>
      <w:r w:rsidRPr="47B86808">
        <w:rPr>
          <w:rFonts w:asciiTheme="majorHAnsi" w:hAnsiTheme="majorHAnsi" w:cstheme="majorBidi"/>
        </w:rPr>
        <w:t>, if any, over which the cash flow will be forecast,</w:t>
      </w:r>
    </w:p>
    <w:p w14:paraId="4F1092DC" w14:textId="1F952CB2" w:rsidR="00656DF4" w:rsidRPr="00373D98" w:rsidRDefault="00656DF4" w:rsidP="00656DF4">
      <w:pPr>
        <w:pStyle w:val="ListParagraph"/>
        <w:numPr>
          <w:ilvl w:val="0"/>
          <w:numId w:val="23"/>
        </w:numPr>
        <w:spacing w:before="240"/>
        <w:rPr>
          <w:rFonts w:asciiTheme="majorHAnsi" w:hAnsiTheme="majorHAnsi" w:cstheme="majorHAnsi"/>
        </w:rPr>
      </w:pPr>
      <w:r w:rsidRPr="00373D98">
        <w:rPr>
          <w:rFonts w:asciiTheme="majorHAnsi" w:hAnsiTheme="majorHAnsi" w:cstheme="majorHAnsi"/>
        </w:rPr>
        <w:t>prepare cash flow forecasts for that period,</w:t>
      </w:r>
    </w:p>
    <w:p w14:paraId="49DEF191" w14:textId="07733730" w:rsidR="00656DF4" w:rsidRPr="00373D98" w:rsidRDefault="00656DF4" w:rsidP="00656DF4">
      <w:pPr>
        <w:pStyle w:val="ListParagraph"/>
        <w:numPr>
          <w:ilvl w:val="0"/>
          <w:numId w:val="23"/>
        </w:numPr>
        <w:spacing w:before="240"/>
        <w:rPr>
          <w:rFonts w:asciiTheme="majorHAnsi" w:hAnsiTheme="majorHAnsi" w:cstheme="majorHAnsi"/>
        </w:rPr>
      </w:pPr>
      <w:r w:rsidRPr="47B86808">
        <w:rPr>
          <w:rFonts w:asciiTheme="majorHAnsi" w:hAnsiTheme="majorHAnsi" w:cstheme="majorBidi"/>
        </w:rPr>
        <w:t xml:space="preserve">determine whether a terminal value is appropriate for the subject asset at the end of the explicit forecast period (if any) and then determine the appropriate </w:t>
      </w:r>
      <w:r w:rsidRPr="00A11090">
        <w:rPr>
          <w:rFonts w:asciiTheme="majorHAnsi" w:hAnsiTheme="majorHAnsi" w:cstheme="majorBidi"/>
        </w:rPr>
        <w:t>terminal value</w:t>
      </w:r>
      <w:r w:rsidRPr="47B86808">
        <w:rPr>
          <w:rFonts w:asciiTheme="majorHAnsi" w:hAnsiTheme="majorHAnsi" w:cstheme="majorBidi"/>
        </w:rPr>
        <w:t xml:space="preserve"> for the nature of the asset,</w:t>
      </w:r>
    </w:p>
    <w:p w14:paraId="08E613E2" w14:textId="31A63DAC" w:rsidR="00656DF4" w:rsidRPr="00373D98" w:rsidRDefault="00656DF4" w:rsidP="00656DF4">
      <w:pPr>
        <w:pStyle w:val="ListParagraph"/>
        <w:numPr>
          <w:ilvl w:val="0"/>
          <w:numId w:val="23"/>
        </w:numPr>
        <w:spacing w:before="240"/>
        <w:rPr>
          <w:rFonts w:asciiTheme="majorHAnsi" w:hAnsiTheme="majorHAnsi" w:cstheme="majorHAnsi"/>
        </w:rPr>
      </w:pPr>
      <w:r w:rsidRPr="47B86808">
        <w:rPr>
          <w:rFonts w:asciiTheme="majorHAnsi" w:hAnsiTheme="majorHAnsi" w:cstheme="majorBidi"/>
        </w:rPr>
        <w:t xml:space="preserve">determine the appropriate </w:t>
      </w:r>
      <w:r w:rsidRPr="00A11090">
        <w:rPr>
          <w:rFonts w:asciiTheme="majorHAnsi" w:hAnsiTheme="majorHAnsi" w:cstheme="majorBidi"/>
        </w:rPr>
        <w:t>discount rate</w:t>
      </w:r>
      <w:r w:rsidRPr="47B86808">
        <w:rPr>
          <w:rFonts w:asciiTheme="majorHAnsi" w:hAnsiTheme="majorHAnsi" w:cstheme="majorBidi"/>
        </w:rPr>
        <w:t>, and</w:t>
      </w:r>
    </w:p>
    <w:p w14:paraId="73C52DE2" w14:textId="467CD1DE" w:rsidR="00656DF4" w:rsidRPr="00373D98" w:rsidRDefault="00656DF4" w:rsidP="00656DF4">
      <w:pPr>
        <w:pStyle w:val="ListParagraph"/>
        <w:numPr>
          <w:ilvl w:val="0"/>
          <w:numId w:val="23"/>
        </w:numPr>
        <w:spacing w:before="240"/>
        <w:jc w:val="both"/>
        <w:rPr>
          <w:rFonts w:asciiTheme="majorHAnsi" w:hAnsiTheme="majorHAnsi" w:cstheme="majorHAnsi"/>
        </w:rPr>
      </w:pPr>
      <w:r w:rsidRPr="00373D98">
        <w:rPr>
          <w:rFonts w:asciiTheme="majorHAnsi" w:hAnsiTheme="majorHAnsi" w:cstheme="majorHAnsi"/>
        </w:rPr>
        <w:t>apply the discount rate to the forecasted future cash flow, including the terminal value, if any.</w:t>
      </w:r>
    </w:p>
    <w:p w14:paraId="351EF9D2" w14:textId="77777777" w:rsidR="00B25BC3" w:rsidRPr="00373D98" w:rsidRDefault="00B25BC3" w:rsidP="00B25BC3">
      <w:pPr>
        <w:spacing w:before="240"/>
        <w:rPr>
          <w:rFonts w:asciiTheme="majorHAnsi" w:hAnsiTheme="majorHAnsi" w:cstheme="majorHAnsi"/>
        </w:rPr>
      </w:pPr>
      <w:r w:rsidRPr="00373D98">
        <w:rPr>
          <w:rFonts w:asciiTheme="majorHAnsi" w:hAnsiTheme="majorHAnsi" w:cstheme="majorHAnsi"/>
        </w:rPr>
        <w:t>When a valuation is being developed in a currency (“the valuation currency”) that differs from the currency used in the cash flow projections (“the functional currency”), the valuer should use one of the following two currency translation methods:</w:t>
      </w:r>
    </w:p>
    <w:p w14:paraId="0062B1B4" w14:textId="2F75D0B1" w:rsidR="00B25BC3" w:rsidRPr="00373D98" w:rsidRDefault="00B25BC3" w:rsidP="00B25BC3">
      <w:pPr>
        <w:pStyle w:val="ListParagraph"/>
        <w:numPr>
          <w:ilvl w:val="0"/>
          <w:numId w:val="49"/>
        </w:numPr>
        <w:spacing w:before="240"/>
        <w:rPr>
          <w:rFonts w:asciiTheme="majorHAnsi" w:hAnsiTheme="majorHAnsi" w:cstheme="majorHAnsi"/>
        </w:rPr>
      </w:pPr>
      <w:r w:rsidRPr="00373D98">
        <w:rPr>
          <w:rFonts w:asciiTheme="majorHAnsi" w:hAnsiTheme="majorHAnsi" w:cstheme="majorHAnsi"/>
        </w:rPr>
        <w:t>Discount the cash flows in the functional currency using a discount rate appropriate for that functional currency. Convert the present value of the cash flows to the valuation currency at the spot rate on the valuation date.</w:t>
      </w:r>
    </w:p>
    <w:p w14:paraId="452DE8D7" w14:textId="0E44D1CA" w:rsidR="00B25BC3" w:rsidRPr="00373D98" w:rsidRDefault="00B25BC3" w:rsidP="00B25BC3">
      <w:pPr>
        <w:pStyle w:val="ListParagraph"/>
        <w:numPr>
          <w:ilvl w:val="0"/>
          <w:numId w:val="49"/>
        </w:numPr>
        <w:spacing w:before="240"/>
        <w:jc w:val="both"/>
        <w:rPr>
          <w:rFonts w:asciiTheme="majorHAnsi" w:hAnsiTheme="majorHAnsi" w:cstheme="majorHAnsi"/>
        </w:rPr>
      </w:pPr>
      <w:r w:rsidRPr="00373D98">
        <w:rPr>
          <w:rFonts w:asciiTheme="majorHAnsi" w:hAnsiTheme="majorHAnsi" w:cstheme="majorHAnsi"/>
        </w:rPr>
        <w:t>Use a currency exchange forward curve to translate the functional currency projections into valuation currency projections and discount the projections using a discount rate appropriate for the valuation currency. When a reliable currency exchange forward curve is not available (for example, due to lack of liquidity in the relevant currency exchange markets), it may not be possible to use this method.</w:t>
      </w:r>
    </w:p>
    <w:p w14:paraId="4B3A6DFF" w14:textId="1218D4E6" w:rsidR="00706A0C" w:rsidRPr="00373D98" w:rsidRDefault="00706A0C" w:rsidP="00706A0C">
      <w:pPr>
        <w:rPr>
          <w:rFonts w:asciiTheme="majorHAnsi" w:hAnsiTheme="majorHAnsi" w:cstheme="majorHAnsi"/>
        </w:rPr>
      </w:pPr>
    </w:p>
    <w:p w14:paraId="52B4D8C9" w14:textId="62EB1878" w:rsidR="00706A0C" w:rsidRPr="00373D98" w:rsidRDefault="00706A0C" w:rsidP="00F4087B">
      <w:pPr>
        <w:pStyle w:val="Heading3"/>
        <w:numPr>
          <w:ilvl w:val="2"/>
          <w:numId w:val="15"/>
        </w:numPr>
        <w:spacing w:after="240"/>
        <w:rPr>
          <w:rFonts w:cstheme="majorHAnsi"/>
        </w:rPr>
      </w:pPr>
      <w:bookmarkStart w:id="20" w:name="_Toc213491722"/>
      <w:r w:rsidRPr="00373D98">
        <w:rPr>
          <w:rFonts w:cstheme="majorHAnsi"/>
        </w:rPr>
        <w:lastRenderedPageBreak/>
        <w:t>Cost Approach</w:t>
      </w:r>
      <w:bookmarkEnd w:id="20"/>
    </w:p>
    <w:p w14:paraId="1A088FCB" w14:textId="58BF9762" w:rsidR="00706A0C" w:rsidRPr="00373D98" w:rsidRDefault="00786B47" w:rsidP="00786B47">
      <w:pPr>
        <w:jc w:val="both"/>
        <w:rPr>
          <w:rFonts w:asciiTheme="majorHAnsi" w:hAnsiTheme="majorHAnsi" w:cstheme="majorHAnsi"/>
        </w:rPr>
      </w:pPr>
      <w:r w:rsidRPr="00373D98">
        <w:rPr>
          <w:rFonts w:asciiTheme="majorHAnsi" w:hAnsiTheme="majorHAnsi" w:cstheme="majorHAnsi"/>
        </w:rPr>
        <w:t>The cost approach may be used as the primary approach when there is either no evidence of transaction prices for similar property or no identifiable actual or notional income stream that would accrue to the owner of the relevant interest.</w:t>
      </w:r>
    </w:p>
    <w:p w14:paraId="27B5CA96" w14:textId="77777777" w:rsidR="00786B47" w:rsidRPr="00373D98" w:rsidRDefault="00786B47" w:rsidP="00786B47">
      <w:pPr>
        <w:jc w:val="both"/>
        <w:rPr>
          <w:rFonts w:asciiTheme="majorHAnsi" w:hAnsiTheme="majorHAnsi" w:cstheme="majorHAnsi"/>
        </w:rPr>
      </w:pPr>
      <w:r w:rsidRPr="00373D98">
        <w:rPr>
          <w:rFonts w:asciiTheme="majorHAnsi" w:hAnsiTheme="majorHAnsi" w:cstheme="majorHAnsi"/>
        </w:rPr>
        <w:t xml:space="preserve">Broadly, there are </w:t>
      </w:r>
      <w:r w:rsidRPr="00373D98">
        <w:rPr>
          <w:rFonts w:asciiTheme="majorHAnsi" w:hAnsiTheme="majorHAnsi" w:cstheme="majorHAnsi"/>
          <w:b/>
          <w:bCs/>
          <w:i/>
          <w:iCs/>
        </w:rPr>
        <w:t>three cost approach methods</w:t>
      </w:r>
      <w:r w:rsidRPr="00373D98">
        <w:rPr>
          <w:rFonts w:asciiTheme="majorHAnsi" w:hAnsiTheme="majorHAnsi" w:cstheme="majorHAnsi"/>
        </w:rPr>
        <w:t>:</w:t>
      </w:r>
    </w:p>
    <w:p w14:paraId="0429A327" w14:textId="36B9DB1B" w:rsidR="00786B47" w:rsidRPr="00373D98" w:rsidRDefault="00786B47" w:rsidP="00786B47">
      <w:pPr>
        <w:pStyle w:val="ListParagraph"/>
        <w:numPr>
          <w:ilvl w:val="0"/>
          <w:numId w:val="25"/>
        </w:numPr>
        <w:jc w:val="both"/>
        <w:rPr>
          <w:rFonts w:asciiTheme="majorHAnsi" w:hAnsiTheme="majorHAnsi" w:cstheme="majorHAnsi"/>
        </w:rPr>
      </w:pPr>
      <w:r w:rsidRPr="00373D98">
        <w:rPr>
          <w:rFonts w:asciiTheme="majorHAnsi" w:hAnsiTheme="majorHAnsi" w:cstheme="majorHAnsi"/>
        </w:rPr>
        <w:t>replacement cost method: a method that indicates value by calculating the cost of a similar asset offering equivalent utility,</w:t>
      </w:r>
    </w:p>
    <w:p w14:paraId="5232929A" w14:textId="4FFAB6C9" w:rsidR="00786B47" w:rsidRPr="00373D98" w:rsidRDefault="00786B47" w:rsidP="00786B47">
      <w:pPr>
        <w:pStyle w:val="ListParagraph"/>
        <w:numPr>
          <w:ilvl w:val="0"/>
          <w:numId w:val="25"/>
        </w:numPr>
        <w:jc w:val="both"/>
        <w:rPr>
          <w:rFonts w:asciiTheme="majorHAnsi" w:hAnsiTheme="majorHAnsi" w:cstheme="majorHAnsi"/>
        </w:rPr>
      </w:pPr>
      <w:r w:rsidRPr="00373D98">
        <w:rPr>
          <w:rFonts w:asciiTheme="majorHAnsi" w:hAnsiTheme="majorHAnsi" w:cstheme="majorHAnsi"/>
        </w:rPr>
        <w:t>reproduction cost method: a method under the cost that indicates value by calculating the cost to recreating a replica of an asset, and</w:t>
      </w:r>
    </w:p>
    <w:p w14:paraId="31E49731" w14:textId="334BCB8A" w:rsidR="00786B47" w:rsidRPr="00373D98" w:rsidRDefault="00786B47" w:rsidP="00786B47">
      <w:pPr>
        <w:pStyle w:val="ListParagraph"/>
        <w:numPr>
          <w:ilvl w:val="0"/>
          <w:numId w:val="25"/>
        </w:numPr>
        <w:jc w:val="both"/>
        <w:rPr>
          <w:rFonts w:asciiTheme="majorHAnsi" w:hAnsiTheme="majorHAnsi" w:cstheme="majorHAnsi"/>
        </w:rPr>
      </w:pPr>
      <w:r w:rsidRPr="00373D98">
        <w:rPr>
          <w:rFonts w:asciiTheme="majorHAnsi" w:hAnsiTheme="majorHAnsi" w:cstheme="majorHAnsi"/>
        </w:rPr>
        <w:t>summation method: a method that calculates the value of an asset by the addition of the separate values of its component parts.</w:t>
      </w:r>
    </w:p>
    <w:p w14:paraId="129BD93D" w14:textId="37EDFED3" w:rsidR="00786B47" w:rsidRPr="00373D98" w:rsidRDefault="00786B47" w:rsidP="00786B47">
      <w:pPr>
        <w:jc w:val="both"/>
        <w:rPr>
          <w:rFonts w:asciiTheme="majorHAnsi" w:hAnsiTheme="majorHAnsi" w:cstheme="majorHAnsi"/>
        </w:rPr>
      </w:pPr>
      <w:r w:rsidRPr="00373D98">
        <w:rPr>
          <w:rFonts w:asciiTheme="majorHAnsi" w:hAnsiTheme="majorHAnsi" w:cstheme="majorHAnsi"/>
        </w:rPr>
        <w:t xml:space="preserve">Cost approach is generally applied to the valuation of property through the </w:t>
      </w:r>
      <w:r w:rsidRPr="00373D98">
        <w:rPr>
          <w:rFonts w:asciiTheme="majorHAnsi" w:hAnsiTheme="majorHAnsi" w:cstheme="majorHAnsi"/>
          <w:b/>
          <w:bCs/>
        </w:rPr>
        <w:t>depreciated replacement cost method</w:t>
      </w:r>
      <w:r w:rsidRPr="00373D98">
        <w:rPr>
          <w:rFonts w:asciiTheme="majorHAnsi" w:hAnsiTheme="majorHAnsi" w:cstheme="majorHAnsi"/>
        </w:rPr>
        <w:t>.</w:t>
      </w:r>
    </w:p>
    <w:p w14:paraId="174B0312" w14:textId="4F1686BC" w:rsidR="00786B47" w:rsidRPr="00373D98" w:rsidRDefault="00786B47" w:rsidP="00F4087B">
      <w:pPr>
        <w:pStyle w:val="Heading4"/>
        <w:numPr>
          <w:ilvl w:val="3"/>
          <w:numId w:val="15"/>
        </w:numPr>
        <w:spacing w:after="240"/>
        <w:rPr>
          <w:rFonts w:cstheme="majorHAnsi"/>
        </w:rPr>
      </w:pPr>
      <w:bookmarkStart w:id="21" w:name="_Toc213491723"/>
      <w:r w:rsidRPr="00373D98">
        <w:rPr>
          <w:rFonts w:cstheme="majorHAnsi"/>
        </w:rPr>
        <w:t>Replacement Cost Method</w:t>
      </w:r>
      <w:bookmarkEnd w:id="21"/>
    </w:p>
    <w:p w14:paraId="33C1761F" w14:textId="7F963015" w:rsidR="00786B47" w:rsidRPr="00373D98" w:rsidRDefault="00786B47" w:rsidP="00786B47">
      <w:pPr>
        <w:jc w:val="both"/>
        <w:rPr>
          <w:rFonts w:asciiTheme="majorHAnsi" w:hAnsiTheme="majorHAnsi" w:cstheme="majorHAnsi"/>
        </w:rPr>
      </w:pPr>
      <w:r w:rsidRPr="00373D98">
        <w:rPr>
          <w:rFonts w:asciiTheme="majorHAnsi" w:hAnsiTheme="majorHAnsi" w:cstheme="majorHAnsi"/>
        </w:rPr>
        <w:t>Replacement cost is the cost that is relevant to determining the price that a participant would pay as it is based on replicating the utility of the asset, not the exact physical properties of the asset.</w:t>
      </w:r>
    </w:p>
    <w:p w14:paraId="1FDD6006" w14:textId="278EC843" w:rsidR="00786B47" w:rsidRPr="00373D98" w:rsidRDefault="00786B47" w:rsidP="00786B47">
      <w:pPr>
        <w:jc w:val="both"/>
        <w:rPr>
          <w:rFonts w:asciiTheme="majorHAnsi" w:hAnsiTheme="majorHAnsi" w:cstheme="majorHAnsi"/>
        </w:rPr>
      </w:pPr>
      <w:proofErr w:type="gramStart"/>
      <w:r w:rsidRPr="00373D98">
        <w:rPr>
          <w:rFonts w:asciiTheme="majorHAnsi" w:hAnsiTheme="majorHAnsi" w:cstheme="majorHAnsi"/>
        </w:rPr>
        <w:t>Usually</w:t>
      </w:r>
      <w:proofErr w:type="gramEnd"/>
      <w:r w:rsidRPr="00373D98">
        <w:rPr>
          <w:rFonts w:asciiTheme="majorHAnsi" w:hAnsiTheme="majorHAnsi" w:cstheme="majorHAnsi"/>
        </w:rPr>
        <w:t xml:space="preserve"> replacement cost is adjusted for physical deterioration and all relevant forms of obsolescence. After such adjustments, this can be referred to as depreciated replacement cost.</w:t>
      </w:r>
    </w:p>
    <w:p w14:paraId="0AB99B14" w14:textId="55B632B8" w:rsidR="00786B47" w:rsidRPr="00373D98" w:rsidRDefault="00786B47" w:rsidP="00786B47">
      <w:pPr>
        <w:jc w:val="both"/>
        <w:rPr>
          <w:rFonts w:asciiTheme="majorHAnsi" w:hAnsiTheme="majorHAnsi" w:cstheme="majorHAnsi"/>
        </w:rPr>
      </w:pPr>
      <w:r w:rsidRPr="00373D98">
        <w:rPr>
          <w:rFonts w:asciiTheme="majorHAnsi" w:hAnsiTheme="majorHAnsi" w:cstheme="majorHAnsi"/>
          <w:b/>
          <w:bCs/>
          <w:i/>
          <w:iCs/>
        </w:rPr>
        <w:t>The key steps in the replacement cost method are</w:t>
      </w:r>
      <w:r w:rsidRPr="00373D98">
        <w:rPr>
          <w:rFonts w:asciiTheme="majorHAnsi" w:hAnsiTheme="majorHAnsi" w:cstheme="majorHAnsi"/>
        </w:rPr>
        <w:t>:</w:t>
      </w:r>
    </w:p>
    <w:p w14:paraId="0D7EFA07" w14:textId="3A55643A" w:rsidR="00786B47" w:rsidRPr="00373D98" w:rsidRDefault="00786B47" w:rsidP="00786B47">
      <w:pPr>
        <w:pStyle w:val="ListParagraph"/>
        <w:numPr>
          <w:ilvl w:val="0"/>
          <w:numId w:val="27"/>
        </w:numPr>
        <w:jc w:val="both"/>
        <w:rPr>
          <w:rFonts w:asciiTheme="majorHAnsi" w:hAnsiTheme="majorHAnsi" w:cstheme="majorHAnsi"/>
        </w:rPr>
      </w:pPr>
      <w:r w:rsidRPr="00373D98">
        <w:rPr>
          <w:rFonts w:asciiTheme="majorHAnsi" w:hAnsiTheme="majorHAnsi" w:cstheme="majorHAnsi"/>
        </w:rPr>
        <w:t xml:space="preserve">calculate </w:t>
      </w:r>
      <w:proofErr w:type="gramStart"/>
      <w:r w:rsidRPr="00373D98">
        <w:rPr>
          <w:rFonts w:asciiTheme="majorHAnsi" w:hAnsiTheme="majorHAnsi" w:cstheme="majorHAnsi"/>
        </w:rPr>
        <w:t>all of</w:t>
      </w:r>
      <w:proofErr w:type="gramEnd"/>
      <w:r w:rsidRPr="00373D98">
        <w:rPr>
          <w:rFonts w:asciiTheme="majorHAnsi" w:hAnsiTheme="majorHAnsi" w:cstheme="majorHAnsi"/>
        </w:rPr>
        <w:t xml:space="preserve"> the costs that would be incurred by a typical participant seeking to create or obtain an asset providing equivalent utility,</w:t>
      </w:r>
    </w:p>
    <w:p w14:paraId="5B4A9504" w14:textId="33C0711D" w:rsidR="00786B47" w:rsidRPr="00373D98" w:rsidRDefault="00786B47" w:rsidP="00786B47">
      <w:pPr>
        <w:pStyle w:val="ListParagraph"/>
        <w:numPr>
          <w:ilvl w:val="0"/>
          <w:numId w:val="27"/>
        </w:numPr>
        <w:jc w:val="both"/>
        <w:rPr>
          <w:rFonts w:asciiTheme="majorHAnsi" w:hAnsiTheme="majorHAnsi" w:cstheme="majorHAnsi"/>
        </w:rPr>
      </w:pPr>
      <w:r w:rsidRPr="00373D98">
        <w:rPr>
          <w:rFonts w:asciiTheme="majorHAnsi" w:hAnsiTheme="majorHAnsi" w:cstheme="majorHAnsi"/>
        </w:rPr>
        <w:t>determine whether there is any depreciation related to physical, functional and external obsolescence associated with the subject asset, and</w:t>
      </w:r>
    </w:p>
    <w:p w14:paraId="57439650" w14:textId="3E46BCBA" w:rsidR="00786B47" w:rsidRPr="00373D98" w:rsidRDefault="00786B47" w:rsidP="00786B47">
      <w:pPr>
        <w:pStyle w:val="ListParagraph"/>
        <w:numPr>
          <w:ilvl w:val="0"/>
          <w:numId w:val="27"/>
        </w:numPr>
        <w:jc w:val="both"/>
        <w:rPr>
          <w:rFonts w:asciiTheme="majorHAnsi" w:hAnsiTheme="majorHAnsi" w:cstheme="majorHAnsi"/>
        </w:rPr>
      </w:pPr>
      <w:r w:rsidRPr="00373D98">
        <w:rPr>
          <w:rFonts w:asciiTheme="majorHAnsi" w:hAnsiTheme="majorHAnsi" w:cstheme="majorHAnsi"/>
        </w:rPr>
        <w:t>deduct total depreciation from the total costs to arrive at a value for the subject asset.</w:t>
      </w:r>
    </w:p>
    <w:p w14:paraId="3C3227FF" w14:textId="304E42E4" w:rsidR="00786B47" w:rsidRPr="00373D98" w:rsidRDefault="00786B47" w:rsidP="00786B47">
      <w:pPr>
        <w:jc w:val="both"/>
        <w:rPr>
          <w:rFonts w:asciiTheme="majorHAnsi" w:hAnsiTheme="majorHAnsi" w:cstheme="majorHAnsi"/>
        </w:rPr>
      </w:pPr>
      <w:r w:rsidRPr="00373D98">
        <w:rPr>
          <w:rFonts w:asciiTheme="majorHAnsi" w:hAnsiTheme="majorHAnsi" w:cstheme="majorHAnsi"/>
        </w:rPr>
        <w:t>The replacement cost is generally that of a modern equivalent asset, which is one that provides similar function and equivalent utility to the asset being valued, but which is of a current design and constructed or made using current cost-effective materials and techniques</w:t>
      </w:r>
    </w:p>
    <w:p w14:paraId="1EE79A7D" w14:textId="77777777" w:rsidR="00A25D33" w:rsidRPr="00373D98" w:rsidRDefault="00A25D33" w:rsidP="00A25D33">
      <w:pPr>
        <w:jc w:val="both"/>
        <w:rPr>
          <w:rFonts w:asciiTheme="majorHAnsi" w:hAnsiTheme="majorHAnsi" w:cstheme="majorHAnsi"/>
          <w:b/>
          <w:bCs/>
        </w:rPr>
      </w:pPr>
      <w:r w:rsidRPr="00373D98">
        <w:rPr>
          <w:rFonts w:asciiTheme="majorHAnsi" w:hAnsiTheme="majorHAnsi" w:cstheme="majorHAnsi"/>
          <w:b/>
          <w:bCs/>
        </w:rPr>
        <w:t>Cost Considerations</w:t>
      </w:r>
    </w:p>
    <w:p w14:paraId="711C1B59" w14:textId="77777777" w:rsidR="00F30A84" w:rsidRPr="00373D98" w:rsidRDefault="00A25D33" w:rsidP="00A25D33">
      <w:pPr>
        <w:jc w:val="both"/>
        <w:rPr>
          <w:rFonts w:asciiTheme="majorHAnsi" w:hAnsiTheme="majorHAnsi" w:cstheme="majorHAnsi"/>
        </w:rPr>
      </w:pPr>
      <w:r w:rsidRPr="00373D98">
        <w:rPr>
          <w:rFonts w:asciiTheme="majorHAnsi" w:hAnsiTheme="majorHAnsi" w:cstheme="majorHAnsi"/>
        </w:rPr>
        <w:t xml:space="preserve">The cost approach should capture </w:t>
      </w:r>
      <w:proofErr w:type="gramStart"/>
      <w:r w:rsidRPr="00373D98">
        <w:rPr>
          <w:rFonts w:asciiTheme="majorHAnsi" w:hAnsiTheme="majorHAnsi" w:cstheme="majorHAnsi"/>
        </w:rPr>
        <w:t>all of</w:t>
      </w:r>
      <w:proofErr w:type="gramEnd"/>
      <w:r w:rsidRPr="00373D98">
        <w:rPr>
          <w:rFonts w:asciiTheme="majorHAnsi" w:hAnsiTheme="majorHAnsi" w:cstheme="majorHAnsi"/>
        </w:rPr>
        <w:t xml:space="preserve"> the costs that would be incurred by a typical participant. The cost elements may differ depending on the type of asset and should include the direct and indirect costs that would be required to replace/ recreate the asset as of the valuation date. </w:t>
      </w:r>
    </w:p>
    <w:p w14:paraId="0F06DB13" w14:textId="147A928E" w:rsidR="00F30A84" w:rsidRPr="00373D98" w:rsidRDefault="00F30A84" w:rsidP="00A25D33">
      <w:pPr>
        <w:jc w:val="both"/>
        <w:rPr>
          <w:rFonts w:asciiTheme="majorHAnsi" w:hAnsiTheme="majorHAnsi" w:cstheme="majorHAnsi"/>
        </w:rPr>
      </w:pPr>
      <w:r w:rsidRPr="00373D98">
        <w:rPr>
          <w:rFonts w:asciiTheme="majorHAnsi" w:hAnsiTheme="majorHAnsi" w:cstheme="majorHAnsi"/>
        </w:rPr>
        <w:lastRenderedPageBreak/>
        <w:t>The replacement cost must reflect all incidental costs, as appropriate, such as the value of the land, infrastructure, design fees, finance costs and developer profit that would be incurred by a participant in creating an equivalent asset.</w:t>
      </w:r>
    </w:p>
    <w:p w14:paraId="4AC7847A" w14:textId="5E521BF1" w:rsidR="00A25D33" w:rsidRPr="00373D98" w:rsidRDefault="00A25D33" w:rsidP="00A25D33">
      <w:pPr>
        <w:jc w:val="both"/>
        <w:rPr>
          <w:rFonts w:asciiTheme="majorHAnsi" w:hAnsiTheme="majorHAnsi" w:cstheme="majorHAnsi"/>
        </w:rPr>
      </w:pPr>
      <w:r w:rsidRPr="00373D98">
        <w:rPr>
          <w:rFonts w:asciiTheme="majorHAnsi" w:hAnsiTheme="majorHAnsi" w:cstheme="majorHAnsi"/>
        </w:rPr>
        <w:t>Some common items to consider include, but are not limited to:</w:t>
      </w:r>
    </w:p>
    <w:p w14:paraId="63320C1E" w14:textId="73F09441" w:rsidR="00A25D33" w:rsidRPr="00373D98" w:rsidRDefault="00F30A84" w:rsidP="00F30A84">
      <w:pPr>
        <w:pStyle w:val="ListParagraph"/>
        <w:ind w:left="1440"/>
        <w:jc w:val="both"/>
        <w:rPr>
          <w:rFonts w:asciiTheme="majorHAnsi" w:hAnsiTheme="majorHAnsi" w:cstheme="majorHAnsi"/>
          <w:b/>
          <w:bCs/>
          <w:u w:val="single"/>
        </w:rPr>
      </w:pPr>
      <w:r w:rsidRPr="00373D98">
        <w:rPr>
          <w:rFonts w:asciiTheme="majorHAnsi" w:hAnsiTheme="majorHAnsi" w:cstheme="majorHAnsi"/>
          <w:b/>
          <w:bCs/>
          <w:u w:val="single"/>
        </w:rPr>
        <w:t>D</w:t>
      </w:r>
      <w:r w:rsidR="00A25D33" w:rsidRPr="00373D98">
        <w:rPr>
          <w:rFonts w:asciiTheme="majorHAnsi" w:hAnsiTheme="majorHAnsi" w:cstheme="majorHAnsi"/>
          <w:b/>
          <w:bCs/>
          <w:u w:val="single"/>
        </w:rPr>
        <w:t>irect costs:</w:t>
      </w:r>
    </w:p>
    <w:p w14:paraId="1207C5E6" w14:textId="1DB8943D" w:rsidR="00A25D33" w:rsidRPr="00373D98" w:rsidRDefault="00A25D33" w:rsidP="00A25D33">
      <w:pPr>
        <w:pStyle w:val="ListParagraph"/>
        <w:numPr>
          <w:ilvl w:val="1"/>
          <w:numId w:val="28"/>
        </w:numPr>
        <w:jc w:val="both"/>
        <w:rPr>
          <w:rFonts w:asciiTheme="majorHAnsi" w:hAnsiTheme="majorHAnsi" w:cstheme="majorHAnsi"/>
        </w:rPr>
      </w:pPr>
      <w:r w:rsidRPr="00373D98">
        <w:rPr>
          <w:rFonts w:asciiTheme="majorHAnsi" w:hAnsiTheme="majorHAnsi" w:cstheme="majorHAnsi"/>
        </w:rPr>
        <w:t>materials, and</w:t>
      </w:r>
    </w:p>
    <w:p w14:paraId="4F3FCAB7" w14:textId="6A01DD14" w:rsidR="00A25D33" w:rsidRPr="00373D98" w:rsidRDefault="00A25D33" w:rsidP="00A25D33">
      <w:pPr>
        <w:pStyle w:val="ListParagraph"/>
        <w:numPr>
          <w:ilvl w:val="1"/>
          <w:numId w:val="28"/>
        </w:numPr>
        <w:jc w:val="both"/>
        <w:rPr>
          <w:rFonts w:asciiTheme="majorHAnsi" w:hAnsiTheme="majorHAnsi" w:cstheme="majorHAnsi"/>
        </w:rPr>
      </w:pPr>
      <w:proofErr w:type="spellStart"/>
      <w:r w:rsidRPr="00373D98">
        <w:rPr>
          <w:rFonts w:asciiTheme="majorHAnsi" w:hAnsiTheme="majorHAnsi" w:cstheme="majorHAnsi"/>
        </w:rPr>
        <w:t>labour</w:t>
      </w:r>
      <w:proofErr w:type="spellEnd"/>
    </w:p>
    <w:p w14:paraId="5D50B73B" w14:textId="3D0EBB22" w:rsidR="00A25D33" w:rsidRPr="00373D98" w:rsidRDefault="00F30A84" w:rsidP="00F30A84">
      <w:pPr>
        <w:pStyle w:val="ListParagraph"/>
        <w:ind w:left="1440"/>
        <w:jc w:val="both"/>
        <w:rPr>
          <w:rFonts w:asciiTheme="majorHAnsi" w:hAnsiTheme="majorHAnsi" w:cstheme="majorHAnsi"/>
          <w:b/>
          <w:bCs/>
          <w:u w:val="single"/>
        </w:rPr>
      </w:pPr>
      <w:r w:rsidRPr="00373D98">
        <w:rPr>
          <w:rFonts w:asciiTheme="majorHAnsi" w:hAnsiTheme="majorHAnsi" w:cstheme="majorHAnsi"/>
          <w:b/>
          <w:bCs/>
          <w:u w:val="single"/>
        </w:rPr>
        <w:t>I</w:t>
      </w:r>
      <w:r w:rsidR="00A25D33" w:rsidRPr="00373D98">
        <w:rPr>
          <w:rFonts w:asciiTheme="majorHAnsi" w:hAnsiTheme="majorHAnsi" w:cstheme="majorHAnsi"/>
          <w:b/>
          <w:bCs/>
          <w:u w:val="single"/>
        </w:rPr>
        <w:t>ndirect costs:</w:t>
      </w:r>
    </w:p>
    <w:p w14:paraId="7C9229B9" w14:textId="076CFF5E" w:rsidR="00A25D33" w:rsidRPr="00373D98" w:rsidRDefault="00A25D33" w:rsidP="00F30A84">
      <w:pPr>
        <w:pStyle w:val="ListParagraph"/>
        <w:numPr>
          <w:ilvl w:val="0"/>
          <w:numId w:val="29"/>
        </w:numPr>
        <w:jc w:val="both"/>
        <w:rPr>
          <w:rFonts w:asciiTheme="majorHAnsi" w:hAnsiTheme="majorHAnsi" w:cstheme="majorHAnsi"/>
        </w:rPr>
      </w:pPr>
      <w:r w:rsidRPr="00373D98">
        <w:rPr>
          <w:rFonts w:asciiTheme="majorHAnsi" w:hAnsiTheme="majorHAnsi" w:cstheme="majorHAnsi"/>
        </w:rPr>
        <w:t>transport costs</w:t>
      </w:r>
    </w:p>
    <w:p w14:paraId="0E578F81" w14:textId="6831FF0F" w:rsidR="00A25D33" w:rsidRPr="00373D98" w:rsidRDefault="00A25D33" w:rsidP="00F30A84">
      <w:pPr>
        <w:pStyle w:val="ListParagraph"/>
        <w:numPr>
          <w:ilvl w:val="0"/>
          <w:numId w:val="29"/>
        </w:numPr>
        <w:jc w:val="both"/>
        <w:rPr>
          <w:rFonts w:asciiTheme="majorHAnsi" w:hAnsiTheme="majorHAnsi" w:cstheme="majorHAnsi"/>
        </w:rPr>
      </w:pPr>
      <w:r w:rsidRPr="00373D98">
        <w:rPr>
          <w:rFonts w:asciiTheme="majorHAnsi" w:hAnsiTheme="majorHAnsi" w:cstheme="majorHAnsi"/>
        </w:rPr>
        <w:t>installation costs</w:t>
      </w:r>
    </w:p>
    <w:p w14:paraId="5028ED8D" w14:textId="3D4A8B78" w:rsidR="00A25D33" w:rsidRPr="00373D98" w:rsidRDefault="00A25D33" w:rsidP="00F30A84">
      <w:pPr>
        <w:pStyle w:val="ListParagraph"/>
        <w:numPr>
          <w:ilvl w:val="0"/>
          <w:numId w:val="29"/>
        </w:numPr>
        <w:jc w:val="both"/>
        <w:rPr>
          <w:rFonts w:asciiTheme="majorHAnsi" w:hAnsiTheme="majorHAnsi" w:cstheme="majorHAnsi"/>
        </w:rPr>
      </w:pPr>
      <w:r w:rsidRPr="00373D98">
        <w:rPr>
          <w:rFonts w:asciiTheme="majorHAnsi" w:hAnsiTheme="majorHAnsi" w:cstheme="majorHAnsi"/>
        </w:rPr>
        <w:t xml:space="preserve">professional fees (design, permit, architectural, legal, </w:t>
      </w:r>
      <w:proofErr w:type="spellStart"/>
      <w:r w:rsidRPr="00373D98">
        <w:rPr>
          <w:rFonts w:asciiTheme="majorHAnsi" w:hAnsiTheme="majorHAnsi" w:cstheme="majorHAnsi"/>
        </w:rPr>
        <w:t>etc</w:t>
      </w:r>
      <w:proofErr w:type="spellEnd"/>
      <w:r w:rsidRPr="00373D98">
        <w:rPr>
          <w:rFonts w:asciiTheme="majorHAnsi" w:hAnsiTheme="majorHAnsi" w:cstheme="majorHAnsi"/>
        </w:rPr>
        <w:t>)</w:t>
      </w:r>
    </w:p>
    <w:p w14:paraId="4D2E2213" w14:textId="6D2DCA0E" w:rsidR="00A25D33" w:rsidRPr="00373D98" w:rsidRDefault="00A25D33" w:rsidP="00F30A84">
      <w:pPr>
        <w:pStyle w:val="ListParagraph"/>
        <w:numPr>
          <w:ilvl w:val="0"/>
          <w:numId w:val="29"/>
        </w:numPr>
        <w:jc w:val="both"/>
        <w:rPr>
          <w:rFonts w:asciiTheme="majorHAnsi" w:hAnsiTheme="majorHAnsi" w:cstheme="majorHAnsi"/>
        </w:rPr>
      </w:pPr>
      <w:r w:rsidRPr="00373D98">
        <w:rPr>
          <w:rFonts w:asciiTheme="majorHAnsi" w:hAnsiTheme="majorHAnsi" w:cstheme="majorHAnsi"/>
        </w:rPr>
        <w:t xml:space="preserve">other fees (commissions, </w:t>
      </w:r>
      <w:proofErr w:type="spellStart"/>
      <w:r w:rsidRPr="00373D98">
        <w:rPr>
          <w:rFonts w:asciiTheme="majorHAnsi" w:hAnsiTheme="majorHAnsi" w:cstheme="majorHAnsi"/>
        </w:rPr>
        <w:t>etc</w:t>
      </w:r>
      <w:proofErr w:type="spellEnd"/>
      <w:r w:rsidRPr="00373D98">
        <w:rPr>
          <w:rFonts w:asciiTheme="majorHAnsi" w:hAnsiTheme="majorHAnsi" w:cstheme="majorHAnsi"/>
        </w:rPr>
        <w:t>)</w:t>
      </w:r>
    </w:p>
    <w:p w14:paraId="7DDE034C" w14:textId="73B0CC8B" w:rsidR="00A25D33" w:rsidRPr="00373D98" w:rsidRDefault="00A25D33" w:rsidP="00F30A84">
      <w:pPr>
        <w:pStyle w:val="ListParagraph"/>
        <w:numPr>
          <w:ilvl w:val="0"/>
          <w:numId w:val="29"/>
        </w:numPr>
        <w:jc w:val="both"/>
        <w:rPr>
          <w:rFonts w:asciiTheme="majorHAnsi" w:hAnsiTheme="majorHAnsi" w:cstheme="majorHAnsi"/>
        </w:rPr>
      </w:pPr>
      <w:r w:rsidRPr="00373D98">
        <w:rPr>
          <w:rFonts w:asciiTheme="majorHAnsi" w:hAnsiTheme="majorHAnsi" w:cstheme="majorHAnsi"/>
        </w:rPr>
        <w:t>overheads</w:t>
      </w:r>
    </w:p>
    <w:p w14:paraId="493176FD" w14:textId="52494968" w:rsidR="00A25D33" w:rsidRPr="00373D98" w:rsidRDefault="00A25D33" w:rsidP="00F30A84">
      <w:pPr>
        <w:pStyle w:val="ListParagraph"/>
        <w:numPr>
          <w:ilvl w:val="0"/>
          <w:numId w:val="29"/>
        </w:numPr>
        <w:jc w:val="both"/>
        <w:rPr>
          <w:rFonts w:asciiTheme="majorHAnsi" w:hAnsiTheme="majorHAnsi" w:cstheme="majorHAnsi"/>
        </w:rPr>
      </w:pPr>
      <w:r w:rsidRPr="00373D98">
        <w:rPr>
          <w:rFonts w:asciiTheme="majorHAnsi" w:hAnsiTheme="majorHAnsi" w:cstheme="majorHAnsi"/>
        </w:rPr>
        <w:t>taxes</w:t>
      </w:r>
    </w:p>
    <w:p w14:paraId="09AEB5D5" w14:textId="4BF6DBB4" w:rsidR="00A25D33" w:rsidRPr="00373D98" w:rsidRDefault="00A25D33" w:rsidP="00F30A84">
      <w:pPr>
        <w:pStyle w:val="ListParagraph"/>
        <w:numPr>
          <w:ilvl w:val="0"/>
          <w:numId w:val="29"/>
        </w:numPr>
        <w:jc w:val="both"/>
        <w:rPr>
          <w:rFonts w:asciiTheme="majorHAnsi" w:hAnsiTheme="majorHAnsi" w:cstheme="majorHAnsi"/>
        </w:rPr>
      </w:pPr>
      <w:r w:rsidRPr="00373D98">
        <w:rPr>
          <w:rFonts w:asciiTheme="majorHAnsi" w:hAnsiTheme="majorHAnsi" w:cstheme="majorHAnsi"/>
        </w:rPr>
        <w:t>finance costs (</w:t>
      </w:r>
      <w:proofErr w:type="spellStart"/>
      <w:r w:rsidRPr="00373D98">
        <w:rPr>
          <w:rFonts w:asciiTheme="majorHAnsi" w:hAnsiTheme="majorHAnsi" w:cstheme="majorHAnsi"/>
        </w:rPr>
        <w:t>eg</w:t>
      </w:r>
      <w:proofErr w:type="spellEnd"/>
      <w:r w:rsidRPr="00373D98">
        <w:rPr>
          <w:rFonts w:asciiTheme="majorHAnsi" w:hAnsiTheme="majorHAnsi" w:cstheme="majorHAnsi"/>
        </w:rPr>
        <w:t>, interest on debt financing), and</w:t>
      </w:r>
    </w:p>
    <w:p w14:paraId="67506646" w14:textId="77777777" w:rsidR="00A25D33" w:rsidRPr="00373D98" w:rsidRDefault="00A25D33" w:rsidP="00F30A84">
      <w:pPr>
        <w:pStyle w:val="ListParagraph"/>
        <w:numPr>
          <w:ilvl w:val="0"/>
          <w:numId w:val="29"/>
        </w:numPr>
        <w:jc w:val="both"/>
        <w:rPr>
          <w:rFonts w:asciiTheme="majorHAnsi" w:hAnsiTheme="majorHAnsi" w:cstheme="majorHAnsi"/>
        </w:rPr>
      </w:pPr>
      <w:r w:rsidRPr="00373D98">
        <w:rPr>
          <w:rFonts w:asciiTheme="majorHAnsi" w:hAnsiTheme="majorHAnsi" w:cstheme="majorHAnsi"/>
        </w:rPr>
        <w:t>profit margin/to the creator of the asset (</w:t>
      </w:r>
      <w:proofErr w:type="spellStart"/>
      <w:r w:rsidRPr="00373D98">
        <w:rPr>
          <w:rFonts w:asciiTheme="majorHAnsi" w:hAnsiTheme="majorHAnsi" w:cstheme="majorHAnsi"/>
        </w:rPr>
        <w:t>eg</w:t>
      </w:r>
      <w:proofErr w:type="spellEnd"/>
      <w:r w:rsidRPr="00373D98">
        <w:rPr>
          <w:rFonts w:asciiTheme="majorHAnsi" w:hAnsiTheme="majorHAnsi" w:cstheme="majorHAnsi"/>
        </w:rPr>
        <w:t>, return to investors).</w:t>
      </w:r>
    </w:p>
    <w:p w14:paraId="34FD57FF" w14:textId="77777777" w:rsidR="00A25D33" w:rsidRPr="00373D98" w:rsidRDefault="00A25D33" w:rsidP="00A25D33">
      <w:pPr>
        <w:jc w:val="both"/>
        <w:rPr>
          <w:rFonts w:asciiTheme="majorHAnsi" w:hAnsiTheme="majorHAnsi" w:cstheme="majorHAnsi"/>
          <w:b/>
          <w:bCs/>
        </w:rPr>
      </w:pPr>
      <w:r w:rsidRPr="00373D98">
        <w:rPr>
          <w:rFonts w:asciiTheme="majorHAnsi" w:hAnsiTheme="majorHAnsi" w:cstheme="majorHAnsi"/>
          <w:b/>
          <w:bCs/>
        </w:rPr>
        <w:t>Depreciation/Obsolescence</w:t>
      </w:r>
    </w:p>
    <w:p w14:paraId="4388C236" w14:textId="77777777" w:rsidR="00A25D33" w:rsidRPr="00373D98" w:rsidRDefault="00A25D33" w:rsidP="00A25D33">
      <w:pPr>
        <w:jc w:val="both"/>
        <w:rPr>
          <w:rFonts w:asciiTheme="majorHAnsi" w:hAnsiTheme="majorHAnsi" w:cstheme="majorHAnsi"/>
        </w:rPr>
      </w:pPr>
      <w:r w:rsidRPr="00373D98">
        <w:rPr>
          <w:rFonts w:asciiTheme="majorHAnsi" w:hAnsiTheme="majorHAnsi" w:cstheme="majorHAnsi"/>
        </w:rPr>
        <w:t xml:space="preserve">Depreciation adjustments are normally considered for the following types of obsolescence, which may be further divided into sub-categories when </w:t>
      </w:r>
      <w:proofErr w:type="gramStart"/>
      <w:r w:rsidRPr="00373D98">
        <w:rPr>
          <w:rFonts w:asciiTheme="majorHAnsi" w:hAnsiTheme="majorHAnsi" w:cstheme="majorHAnsi"/>
        </w:rPr>
        <w:t>making adjustments</w:t>
      </w:r>
      <w:proofErr w:type="gramEnd"/>
      <w:r w:rsidRPr="00373D98">
        <w:rPr>
          <w:rFonts w:asciiTheme="majorHAnsi" w:hAnsiTheme="majorHAnsi" w:cstheme="majorHAnsi"/>
        </w:rPr>
        <w:t>:</w:t>
      </w:r>
    </w:p>
    <w:p w14:paraId="708F5EF1" w14:textId="6833AD3A" w:rsidR="00A25D33" w:rsidRPr="00373D98" w:rsidRDefault="00A25D33" w:rsidP="00F30A84">
      <w:pPr>
        <w:pStyle w:val="ListParagraph"/>
        <w:numPr>
          <w:ilvl w:val="0"/>
          <w:numId w:val="30"/>
        </w:numPr>
        <w:jc w:val="both"/>
        <w:rPr>
          <w:rFonts w:asciiTheme="majorHAnsi" w:hAnsiTheme="majorHAnsi" w:cstheme="majorHAnsi"/>
        </w:rPr>
      </w:pPr>
      <w:r w:rsidRPr="00373D98">
        <w:rPr>
          <w:rFonts w:asciiTheme="majorHAnsi" w:hAnsiTheme="majorHAnsi" w:cstheme="majorHAnsi"/>
        </w:rPr>
        <w:t>physical obsolescence: any loss of utility due to the physical deterioration of the asset or its components resulting from its age and usage,</w:t>
      </w:r>
    </w:p>
    <w:p w14:paraId="473A2EC6" w14:textId="288FD449" w:rsidR="00A25D33" w:rsidRPr="00373D98" w:rsidRDefault="00A25D33" w:rsidP="00F30A84">
      <w:pPr>
        <w:pStyle w:val="ListParagraph"/>
        <w:numPr>
          <w:ilvl w:val="0"/>
          <w:numId w:val="30"/>
        </w:numPr>
        <w:jc w:val="both"/>
        <w:rPr>
          <w:rFonts w:asciiTheme="majorHAnsi" w:hAnsiTheme="majorHAnsi" w:cstheme="majorHAnsi"/>
        </w:rPr>
      </w:pPr>
      <w:r w:rsidRPr="00373D98">
        <w:rPr>
          <w:rFonts w:asciiTheme="majorHAnsi" w:hAnsiTheme="majorHAnsi" w:cstheme="majorHAnsi"/>
        </w:rPr>
        <w:t>functional obsolescence: any loss of utility resulting from inefficiencies in the subject asset compared with its replacement such as its design, specification or technology being outdated,</w:t>
      </w:r>
    </w:p>
    <w:p w14:paraId="1E213913" w14:textId="1B77F97A" w:rsidR="00A25D33" w:rsidRPr="00373D98" w:rsidRDefault="00A25D33" w:rsidP="00F30A84">
      <w:pPr>
        <w:pStyle w:val="ListParagraph"/>
        <w:numPr>
          <w:ilvl w:val="0"/>
          <w:numId w:val="30"/>
        </w:numPr>
        <w:jc w:val="both"/>
        <w:rPr>
          <w:rFonts w:asciiTheme="majorHAnsi" w:hAnsiTheme="majorHAnsi" w:cstheme="majorHAnsi"/>
        </w:rPr>
      </w:pPr>
      <w:r w:rsidRPr="00373D98">
        <w:rPr>
          <w:rFonts w:asciiTheme="majorHAnsi" w:hAnsiTheme="majorHAnsi" w:cstheme="majorHAnsi"/>
        </w:rPr>
        <w:t>external or economic obsolescence: any loss of utility caused by economic or locational factors external to the asset. This type of obsolescence can be temporary or permanent.</w:t>
      </w:r>
    </w:p>
    <w:p w14:paraId="7B974AE4" w14:textId="599719FB" w:rsidR="00A25D33" w:rsidRPr="00373D98" w:rsidRDefault="00A25D33" w:rsidP="00A25D33">
      <w:pPr>
        <w:jc w:val="both"/>
        <w:rPr>
          <w:rFonts w:asciiTheme="majorHAnsi" w:hAnsiTheme="majorHAnsi" w:cstheme="majorHAnsi"/>
        </w:rPr>
      </w:pPr>
      <w:r w:rsidRPr="00373D98">
        <w:rPr>
          <w:rFonts w:asciiTheme="majorHAnsi" w:hAnsiTheme="majorHAnsi" w:cstheme="majorHAnsi"/>
        </w:rPr>
        <w:t>Depreciation/obsolescence should consider the physical and economic lives of the asset:</w:t>
      </w:r>
    </w:p>
    <w:p w14:paraId="7621077C" w14:textId="5CDD91D6" w:rsidR="00A25D33" w:rsidRPr="00373D98" w:rsidRDefault="00A25D33" w:rsidP="00F30A84">
      <w:pPr>
        <w:pStyle w:val="ListParagraph"/>
        <w:numPr>
          <w:ilvl w:val="0"/>
          <w:numId w:val="31"/>
        </w:numPr>
        <w:jc w:val="both"/>
        <w:rPr>
          <w:rFonts w:asciiTheme="majorHAnsi" w:hAnsiTheme="majorHAnsi" w:cstheme="majorHAnsi"/>
        </w:rPr>
      </w:pPr>
      <w:r w:rsidRPr="00373D98">
        <w:rPr>
          <w:rFonts w:asciiTheme="majorHAnsi" w:hAnsiTheme="majorHAnsi" w:cstheme="majorHAnsi"/>
        </w:rPr>
        <w:t>The physical life is how long the asset could be used before it would be worn out or beyond economic repair, assuming routine maintenance but disregarding any potential for refurbishment or reconstruction,</w:t>
      </w:r>
    </w:p>
    <w:p w14:paraId="1B46BEA6" w14:textId="577CB386" w:rsidR="00A25D33" w:rsidRPr="00373D98" w:rsidRDefault="00A25D33" w:rsidP="00F30A84">
      <w:pPr>
        <w:pStyle w:val="ListParagraph"/>
        <w:numPr>
          <w:ilvl w:val="0"/>
          <w:numId w:val="31"/>
        </w:numPr>
        <w:jc w:val="both"/>
        <w:rPr>
          <w:rFonts w:asciiTheme="majorHAnsi" w:hAnsiTheme="majorHAnsi" w:cstheme="majorHAnsi"/>
        </w:rPr>
      </w:pPr>
      <w:r w:rsidRPr="00373D98">
        <w:rPr>
          <w:rFonts w:asciiTheme="majorHAnsi" w:hAnsiTheme="majorHAnsi" w:cstheme="majorHAnsi"/>
        </w:rPr>
        <w:t>The economic life is how long it is anticipated that the asset could generate financial returns or provide a non-financial benefit in its current use. It will be influenced by the degree of functional or economic obsolescence to which the asset is exposed.</w:t>
      </w:r>
    </w:p>
    <w:p w14:paraId="375FDF01" w14:textId="77777777" w:rsidR="00A25D33" w:rsidRPr="00373D98" w:rsidRDefault="00A25D33" w:rsidP="00A25D33">
      <w:pPr>
        <w:jc w:val="both"/>
        <w:rPr>
          <w:rFonts w:asciiTheme="majorHAnsi" w:hAnsiTheme="majorHAnsi" w:cstheme="majorHAnsi"/>
        </w:rPr>
      </w:pPr>
      <w:r w:rsidRPr="00373D98">
        <w:rPr>
          <w:rFonts w:asciiTheme="majorHAnsi" w:hAnsiTheme="majorHAnsi" w:cstheme="majorHAnsi"/>
        </w:rPr>
        <w:t>Physical obsolescence can be measured in two different ways:</w:t>
      </w:r>
    </w:p>
    <w:p w14:paraId="73FB0B4B" w14:textId="175A47AA" w:rsidR="00A25D33" w:rsidRPr="00373D98" w:rsidRDefault="00A25D33" w:rsidP="00F30A84">
      <w:pPr>
        <w:pStyle w:val="ListParagraph"/>
        <w:numPr>
          <w:ilvl w:val="0"/>
          <w:numId w:val="32"/>
        </w:numPr>
        <w:jc w:val="both"/>
        <w:rPr>
          <w:rFonts w:asciiTheme="majorHAnsi" w:hAnsiTheme="majorHAnsi" w:cstheme="majorHAnsi"/>
        </w:rPr>
      </w:pPr>
      <w:r w:rsidRPr="00373D98">
        <w:rPr>
          <w:rFonts w:asciiTheme="majorHAnsi" w:hAnsiTheme="majorHAnsi" w:cstheme="majorHAnsi"/>
        </w:rPr>
        <w:t xml:space="preserve">curable physical obsolescence, </w:t>
      </w:r>
      <w:proofErr w:type="spellStart"/>
      <w:r w:rsidRPr="00373D98">
        <w:rPr>
          <w:rFonts w:asciiTheme="majorHAnsi" w:hAnsiTheme="majorHAnsi" w:cstheme="majorHAnsi"/>
        </w:rPr>
        <w:t>ie</w:t>
      </w:r>
      <w:proofErr w:type="spellEnd"/>
      <w:r w:rsidRPr="00373D98">
        <w:rPr>
          <w:rFonts w:asciiTheme="majorHAnsi" w:hAnsiTheme="majorHAnsi" w:cstheme="majorHAnsi"/>
        </w:rPr>
        <w:t>, the cost to fix/cure the obsolescence, or</w:t>
      </w:r>
    </w:p>
    <w:p w14:paraId="07E63299" w14:textId="2BC103F6" w:rsidR="00A25D33" w:rsidRPr="00373D98" w:rsidRDefault="00A25D33" w:rsidP="00F30A84">
      <w:pPr>
        <w:pStyle w:val="ListParagraph"/>
        <w:numPr>
          <w:ilvl w:val="0"/>
          <w:numId w:val="32"/>
        </w:numPr>
        <w:jc w:val="both"/>
        <w:rPr>
          <w:rFonts w:asciiTheme="majorHAnsi" w:hAnsiTheme="majorHAnsi" w:cstheme="majorHAnsi"/>
        </w:rPr>
      </w:pPr>
      <w:r w:rsidRPr="00373D98">
        <w:rPr>
          <w:rFonts w:asciiTheme="majorHAnsi" w:hAnsiTheme="majorHAnsi" w:cstheme="majorHAnsi"/>
        </w:rPr>
        <w:lastRenderedPageBreak/>
        <w:t>incurable physical obsolescence which considers the asset’s age, expected total and remaining life where the adjustment for physical obsolescence is equivalent to the proportion of the expected total life consumed. Total expected life may be expressed in any reasonable way, including expected life in years, mileage, units produced, etc.</w:t>
      </w:r>
    </w:p>
    <w:p w14:paraId="252FD5ED" w14:textId="352E288D" w:rsidR="00A25D33" w:rsidRPr="00373D98" w:rsidRDefault="00A25D33" w:rsidP="00A25D33">
      <w:pPr>
        <w:jc w:val="both"/>
        <w:rPr>
          <w:rFonts w:asciiTheme="majorHAnsi" w:hAnsiTheme="majorHAnsi" w:cstheme="majorHAnsi"/>
        </w:rPr>
      </w:pPr>
      <w:r w:rsidRPr="00373D98">
        <w:rPr>
          <w:rFonts w:asciiTheme="majorHAnsi" w:hAnsiTheme="majorHAnsi" w:cstheme="majorHAnsi"/>
        </w:rPr>
        <w:t>There are two forms of functional obsolescence:</w:t>
      </w:r>
    </w:p>
    <w:p w14:paraId="372E9D5F" w14:textId="17C99BE0" w:rsidR="00A25D33" w:rsidRPr="00373D98" w:rsidRDefault="00A25D33" w:rsidP="00435290">
      <w:pPr>
        <w:pStyle w:val="ListParagraph"/>
        <w:numPr>
          <w:ilvl w:val="0"/>
          <w:numId w:val="33"/>
        </w:numPr>
        <w:jc w:val="both"/>
        <w:rPr>
          <w:rFonts w:asciiTheme="majorHAnsi" w:hAnsiTheme="majorHAnsi" w:cstheme="majorHAnsi"/>
        </w:rPr>
      </w:pPr>
      <w:r w:rsidRPr="00373D98">
        <w:rPr>
          <w:rFonts w:asciiTheme="majorHAnsi" w:hAnsiTheme="majorHAnsi" w:cstheme="majorHAnsi"/>
        </w:rPr>
        <w:t>excess capital cost, which can be caused by changes in design, materials of construction, technology or manufacturing techniques resulting in the availability of modern equivalent assets with lower capital costs than the subject asset, and</w:t>
      </w:r>
    </w:p>
    <w:p w14:paraId="125808CD" w14:textId="6D643215" w:rsidR="00A25D33" w:rsidRPr="00373D98" w:rsidRDefault="00A25D33" w:rsidP="00435290">
      <w:pPr>
        <w:pStyle w:val="ListParagraph"/>
        <w:numPr>
          <w:ilvl w:val="0"/>
          <w:numId w:val="33"/>
        </w:numPr>
        <w:jc w:val="both"/>
        <w:rPr>
          <w:rFonts w:asciiTheme="majorHAnsi" w:hAnsiTheme="majorHAnsi" w:cstheme="majorHAnsi"/>
        </w:rPr>
      </w:pPr>
      <w:r w:rsidRPr="00373D98">
        <w:rPr>
          <w:rFonts w:asciiTheme="majorHAnsi" w:hAnsiTheme="majorHAnsi" w:cstheme="majorHAnsi"/>
        </w:rPr>
        <w:t>excess operating cost, which can be caused by improvements in design or excess capacity resulting in the availability of modern equivalent assets with lower operating costs than the subject asset.</w:t>
      </w:r>
    </w:p>
    <w:p w14:paraId="5656584B" w14:textId="63AC181B" w:rsidR="00A25D33" w:rsidRPr="00373D98" w:rsidRDefault="00A25D33" w:rsidP="00A25D33">
      <w:pPr>
        <w:jc w:val="both"/>
        <w:rPr>
          <w:rFonts w:asciiTheme="majorHAnsi" w:hAnsiTheme="majorHAnsi" w:cstheme="majorHAnsi"/>
        </w:rPr>
      </w:pPr>
      <w:r w:rsidRPr="00373D98">
        <w:rPr>
          <w:rFonts w:asciiTheme="majorHAnsi" w:hAnsiTheme="majorHAnsi" w:cstheme="majorHAnsi"/>
        </w:rPr>
        <w:t>Economic obsolescence may arise when external factors affect an individual asset or all the assets employed in a business and should be deducted after physical deterioration and functional obsolescence. For real estate, examples of economic obsolescence include but are not limited to:</w:t>
      </w:r>
    </w:p>
    <w:p w14:paraId="49861B73" w14:textId="68C7EDEE" w:rsidR="00A25D33" w:rsidRPr="00373D98" w:rsidRDefault="00A25D33" w:rsidP="00435290">
      <w:pPr>
        <w:pStyle w:val="ListParagraph"/>
        <w:numPr>
          <w:ilvl w:val="1"/>
          <w:numId w:val="25"/>
        </w:numPr>
        <w:jc w:val="both"/>
        <w:rPr>
          <w:rFonts w:asciiTheme="majorHAnsi" w:hAnsiTheme="majorHAnsi" w:cstheme="majorHAnsi"/>
        </w:rPr>
      </w:pPr>
      <w:r w:rsidRPr="00373D98">
        <w:rPr>
          <w:rFonts w:asciiTheme="majorHAnsi" w:hAnsiTheme="majorHAnsi" w:cstheme="majorHAnsi"/>
        </w:rPr>
        <w:t>adverse changes to demand for the products or services produced by the asset,</w:t>
      </w:r>
    </w:p>
    <w:p w14:paraId="38D7DB53" w14:textId="09755A2E" w:rsidR="00A25D33" w:rsidRPr="00373D98" w:rsidRDefault="00A25D33" w:rsidP="00435290">
      <w:pPr>
        <w:pStyle w:val="ListParagraph"/>
        <w:numPr>
          <w:ilvl w:val="1"/>
          <w:numId w:val="25"/>
        </w:numPr>
        <w:jc w:val="both"/>
        <w:rPr>
          <w:rFonts w:asciiTheme="majorHAnsi" w:hAnsiTheme="majorHAnsi" w:cstheme="majorHAnsi"/>
        </w:rPr>
      </w:pPr>
      <w:r w:rsidRPr="00373D98">
        <w:rPr>
          <w:rFonts w:asciiTheme="majorHAnsi" w:hAnsiTheme="majorHAnsi" w:cstheme="majorHAnsi"/>
        </w:rPr>
        <w:t>oversupply in the market for the asset,</w:t>
      </w:r>
    </w:p>
    <w:p w14:paraId="4C05E31B" w14:textId="7C2684E7" w:rsidR="00A25D33" w:rsidRPr="00373D98" w:rsidRDefault="00A25D33" w:rsidP="00435290">
      <w:pPr>
        <w:pStyle w:val="ListParagraph"/>
        <w:numPr>
          <w:ilvl w:val="1"/>
          <w:numId w:val="25"/>
        </w:numPr>
        <w:jc w:val="both"/>
        <w:rPr>
          <w:rFonts w:asciiTheme="majorHAnsi" w:hAnsiTheme="majorHAnsi" w:cstheme="majorHAnsi"/>
        </w:rPr>
      </w:pPr>
      <w:r w:rsidRPr="00373D98">
        <w:rPr>
          <w:rFonts w:asciiTheme="majorHAnsi" w:hAnsiTheme="majorHAnsi" w:cstheme="majorHAnsi"/>
        </w:rPr>
        <w:t xml:space="preserve">a disruption or loss of a supply of </w:t>
      </w:r>
      <w:proofErr w:type="spellStart"/>
      <w:r w:rsidRPr="00373D98">
        <w:rPr>
          <w:rFonts w:asciiTheme="majorHAnsi" w:hAnsiTheme="majorHAnsi" w:cstheme="majorHAnsi"/>
        </w:rPr>
        <w:t>labour</w:t>
      </w:r>
      <w:proofErr w:type="spellEnd"/>
      <w:r w:rsidRPr="00373D98">
        <w:rPr>
          <w:rFonts w:asciiTheme="majorHAnsi" w:hAnsiTheme="majorHAnsi" w:cstheme="majorHAnsi"/>
        </w:rPr>
        <w:t xml:space="preserve"> or raw material,</w:t>
      </w:r>
    </w:p>
    <w:p w14:paraId="18E6687D" w14:textId="49C89A77" w:rsidR="00A25D33" w:rsidRPr="00373D98" w:rsidRDefault="00A25D33" w:rsidP="00435290">
      <w:pPr>
        <w:pStyle w:val="ListParagraph"/>
        <w:numPr>
          <w:ilvl w:val="1"/>
          <w:numId w:val="25"/>
        </w:numPr>
        <w:jc w:val="both"/>
        <w:rPr>
          <w:rFonts w:asciiTheme="majorHAnsi" w:hAnsiTheme="majorHAnsi" w:cstheme="majorHAnsi"/>
        </w:rPr>
      </w:pPr>
      <w:r w:rsidRPr="00373D98">
        <w:rPr>
          <w:rFonts w:asciiTheme="majorHAnsi" w:hAnsiTheme="majorHAnsi" w:cstheme="majorHAnsi"/>
        </w:rPr>
        <w:t>the asset being used by a business that cannot afford to pay a market rent for the assets and still generate a market rate of return, and</w:t>
      </w:r>
    </w:p>
    <w:p w14:paraId="626933EF" w14:textId="72172CE6" w:rsidR="00A25D33" w:rsidRPr="00373D98" w:rsidRDefault="00A25D33" w:rsidP="00A25D33">
      <w:pPr>
        <w:pStyle w:val="ListParagraph"/>
        <w:numPr>
          <w:ilvl w:val="1"/>
          <w:numId w:val="25"/>
        </w:numPr>
        <w:jc w:val="both"/>
        <w:rPr>
          <w:rFonts w:asciiTheme="majorHAnsi" w:hAnsiTheme="majorHAnsi" w:cstheme="majorHAnsi"/>
        </w:rPr>
      </w:pPr>
      <w:r w:rsidRPr="00373D98">
        <w:rPr>
          <w:rFonts w:asciiTheme="majorHAnsi" w:hAnsiTheme="majorHAnsi" w:cstheme="majorHAnsi"/>
        </w:rPr>
        <w:t>adverse changes in the environmental, social and governance</w:t>
      </w:r>
      <w:r w:rsidR="00435290" w:rsidRPr="00373D98">
        <w:rPr>
          <w:rFonts w:asciiTheme="majorHAnsi" w:hAnsiTheme="majorHAnsi" w:cstheme="majorHAnsi"/>
        </w:rPr>
        <w:t xml:space="preserve"> </w:t>
      </w:r>
      <w:r w:rsidRPr="00373D98">
        <w:rPr>
          <w:rFonts w:asciiTheme="majorHAnsi" w:hAnsiTheme="majorHAnsi" w:cstheme="majorHAnsi"/>
        </w:rPr>
        <w:t>characteristics of the subject asset.</w:t>
      </w:r>
    </w:p>
    <w:p w14:paraId="7368E521" w14:textId="7E226F1C" w:rsidR="00706A0C" w:rsidRPr="00373D98" w:rsidRDefault="00706A0C" w:rsidP="00A25D33">
      <w:pPr>
        <w:jc w:val="both"/>
        <w:rPr>
          <w:rFonts w:asciiTheme="majorHAnsi" w:hAnsiTheme="majorHAnsi" w:cstheme="majorHAnsi"/>
        </w:rPr>
      </w:pPr>
      <w:r w:rsidRPr="00373D98">
        <w:rPr>
          <w:rFonts w:asciiTheme="majorHAnsi" w:hAnsiTheme="majorHAnsi" w:cstheme="majorHAnsi"/>
        </w:rPr>
        <w:br w:type="page"/>
      </w:r>
    </w:p>
    <w:p w14:paraId="6DB5881D" w14:textId="171E3907" w:rsidR="00706A0C" w:rsidRPr="00373D98" w:rsidRDefault="00706A0C" w:rsidP="00F4087B">
      <w:pPr>
        <w:pStyle w:val="Heading3"/>
        <w:numPr>
          <w:ilvl w:val="1"/>
          <w:numId w:val="15"/>
        </w:numPr>
        <w:spacing w:after="240"/>
        <w:rPr>
          <w:rFonts w:cstheme="majorHAnsi"/>
        </w:rPr>
      </w:pPr>
      <w:bookmarkStart w:id="22" w:name="_Toc213491724"/>
      <w:r>
        <w:lastRenderedPageBreak/>
        <w:t>Valuation of Plant and Equipment</w:t>
      </w:r>
      <w:bookmarkEnd w:id="22"/>
    </w:p>
    <w:p w14:paraId="783CD169" w14:textId="4F5C03B5" w:rsidR="00706A0C" w:rsidRPr="00373D98" w:rsidRDefault="00B02DF2" w:rsidP="0073066B">
      <w:pPr>
        <w:spacing w:after="240"/>
        <w:jc w:val="both"/>
        <w:rPr>
          <w:rFonts w:asciiTheme="majorHAnsi" w:hAnsiTheme="majorHAnsi" w:cstheme="majorHAnsi"/>
        </w:rPr>
      </w:pPr>
      <w:r w:rsidRPr="00373D98">
        <w:rPr>
          <w:rFonts w:asciiTheme="majorHAnsi" w:hAnsiTheme="majorHAnsi" w:cstheme="majorHAnsi"/>
        </w:rPr>
        <w:t xml:space="preserve">Fair value of plant and equipment may have to be calculated depending on the method of measurement (revaluation model of IAS 16 or fair value model of IAS 40) of the asset or where the transaction involves sale/ purchase of such an asset. </w:t>
      </w:r>
      <w:r w:rsidR="00FB0237" w:rsidRPr="00373D98">
        <w:rPr>
          <w:rFonts w:asciiTheme="majorHAnsi" w:hAnsiTheme="majorHAnsi" w:cstheme="majorHAnsi"/>
        </w:rPr>
        <w:t>Reference should be made to IVS 300, when performing valuation of plant and equipment.</w:t>
      </w:r>
    </w:p>
    <w:p w14:paraId="5728E52D" w14:textId="5DEF85CD" w:rsidR="00FB0237" w:rsidRPr="00373D98" w:rsidRDefault="00FB0237" w:rsidP="0073066B">
      <w:pPr>
        <w:spacing w:after="240"/>
        <w:jc w:val="both"/>
        <w:rPr>
          <w:rFonts w:asciiTheme="majorHAnsi" w:hAnsiTheme="majorHAnsi" w:cstheme="majorHAnsi"/>
        </w:rPr>
      </w:pPr>
      <w:r w:rsidRPr="00373D98">
        <w:rPr>
          <w:rFonts w:asciiTheme="majorHAnsi" w:hAnsiTheme="majorHAnsi" w:cstheme="majorHAnsi"/>
        </w:rPr>
        <w:t xml:space="preserve">When valuing plant and equipment, consideration must be given to the degree to which the asset is attached to, or integrated with, other </w:t>
      </w:r>
      <w:proofErr w:type="gramStart"/>
      <w:r w:rsidRPr="00373D98">
        <w:rPr>
          <w:rFonts w:asciiTheme="majorHAnsi" w:hAnsiTheme="majorHAnsi" w:cstheme="majorHAnsi"/>
        </w:rPr>
        <w:t>assets;</w:t>
      </w:r>
      <w:proofErr w:type="gramEnd"/>
      <w:r w:rsidRPr="00373D98">
        <w:rPr>
          <w:rFonts w:asciiTheme="majorHAnsi" w:hAnsiTheme="majorHAnsi" w:cstheme="majorHAnsi"/>
        </w:rPr>
        <w:t xml:space="preserve"> as it impacts on the value. For example:</w:t>
      </w:r>
    </w:p>
    <w:p w14:paraId="56ECE103" w14:textId="6FF2A250" w:rsidR="00FB0237" w:rsidRPr="00373D98" w:rsidRDefault="00FB0237" w:rsidP="0073066B">
      <w:pPr>
        <w:pStyle w:val="ListParagraph"/>
        <w:numPr>
          <w:ilvl w:val="0"/>
          <w:numId w:val="35"/>
        </w:numPr>
        <w:spacing w:after="240"/>
        <w:jc w:val="both"/>
        <w:rPr>
          <w:rFonts w:asciiTheme="majorHAnsi" w:hAnsiTheme="majorHAnsi" w:cstheme="majorHAnsi"/>
        </w:rPr>
      </w:pPr>
      <w:r w:rsidRPr="00373D98">
        <w:rPr>
          <w:rFonts w:asciiTheme="majorHAnsi" w:hAnsiTheme="majorHAnsi" w:cstheme="majorHAnsi"/>
        </w:rPr>
        <w:t>assets may be permanently attached to the land and could not be removed without substantial demolition of either the asset or any surrounding structure or building,</w:t>
      </w:r>
    </w:p>
    <w:p w14:paraId="58811EFC" w14:textId="3D32BC6B" w:rsidR="00FB0237" w:rsidRPr="00373D98" w:rsidRDefault="00FB0237" w:rsidP="0073066B">
      <w:pPr>
        <w:pStyle w:val="ListParagraph"/>
        <w:numPr>
          <w:ilvl w:val="0"/>
          <w:numId w:val="35"/>
        </w:numPr>
        <w:spacing w:after="240"/>
        <w:jc w:val="both"/>
        <w:rPr>
          <w:rFonts w:asciiTheme="majorHAnsi" w:hAnsiTheme="majorHAnsi" w:cstheme="majorHAnsi"/>
        </w:rPr>
      </w:pPr>
      <w:r w:rsidRPr="00373D98">
        <w:rPr>
          <w:rFonts w:asciiTheme="majorHAnsi" w:hAnsiTheme="majorHAnsi" w:cstheme="majorHAnsi"/>
        </w:rPr>
        <w:t>an individual machine may be part of an integrated production line where its functionality is dependent upon other assets,</w:t>
      </w:r>
    </w:p>
    <w:p w14:paraId="6C8E7CCA" w14:textId="7BF4B7C4" w:rsidR="00FB0237" w:rsidRPr="00373D98" w:rsidRDefault="00FB0237" w:rsidP="0073066B">
      <w:pPr>
        <w:pStyle w:val="ListParagraph"/>
        <w:numPr>
          <w:ilvl w:val="0"/>
          <w:numId w:val="35"/>
        </w:numPr>
        <w:spacing w:after="240"/>
        <w:jc w:val="both"/>
        <w:rPr>
          <w:rFonts w:asciiTheme="majorHAnsi" w:hAnsiTheme="majorHAnsi" w:cstheme="majorHAnsi"/>
        </w:rPr>
      </w:pPr>
      <w:r w:rsidRPr="00373D98">
        <w:rPr>
          <w:rFonts w:asciiTheme="majorHAnsi" w:hAnsiTheme="majorHAnsi" w:cstheme="majorHAnsi"/>
        </w:rPr>
        <w:t xml:space="preserve">an asset may </w:t>
      </w:r>
      <w:proofErr w:type="gramStart"/>
      <w:r w:rsidRPr="00373D98">
        <w:rPr>
          <w:rFonts w:asciiTheme="majorHAnsi" w:hAnsiTheme="majorHAnsi" w:cstheme="majorHAnsi"/>
        </w:rPr>
        <w:t>be considered to be</w:t>
      </w:r>
      <w:proofErr w:type="gramEnd"/>
      <w:r w:rsidRPr="00373D98">
        <w:rPr>
          <w:rFonts w:asciiTheme="majorHAnsi" w:hAnsiTheme="majorHAnsi" w:cstheme="majorHAnsi"/>
        </w:rPr>
        <w:t xml:space="preserve"> classified as a component of the real property (</w:t>
      </w:r>
      <w:proofErr w:type="spellStart"/>
      <w:r w:rsidRPr="00373D98">
        <w:rPr>
          <w:rFonts w:asciiTheme="majorHAnsi" w:hAnsiTheme="majorHAnsi" w:cstheme="majorHAnsi"/>
        </w:rPr>
        <w:t>eg</w:t>
      </w:r>
      <w:proofErr w:type="spellEnd"/>
      <w:r w:rsidRPr="00373D98">
        <w:rPr>
          <w:rFonts w:asciiTheme="majorHAnsi" w:hAnsiTheme="majorHAnsi" w:cstheme="majorHAnsi"/>
        </w:rPr>
        <w:t>, a Heating, Ventilation and Air Conditioning System (HVAC)).</w:t>
      </w:r>
    </w:p>
    <w:p w14:paraId="75D07495" w14:textId="31564A05" w:rsidR="00FB0237" w:rsidRPr="00373D98" w:rsidRDefault="00FB0237" w:rsidP="0073066B">
      <w:pPr>
        <w:spacing w:after="240"/>
        <w:jc w:val="both"/>
        <w:rPr>
          <w:rFonts w:asciiTheme="majorHAnsi" w:hAnsiTheme="majorHAnsi" w:cstheme="majorHAnsi"/>
        </w:rPr>
      </w:pPr>
      <w:r w:rsidRPr="00373D98">
        <w:rPr>
          <w:rFonts w:asciiTheme="majorHAnsi" w:hAnsiTheme="majorHAnsi" w:cstheme="majorHAnsi"/>
        </w:rPr>
        <w:t>In such cases, it will be necessary to clearly define what is to be included or excluded from the valuation. Any special assumptions relating to the availability of any complementary assets must also be stated.</w:t>
      </w:r>
    </w:p>
    <w:p w14:paraId="1DB845B3" w14:textId="77777777" w:rsidR="0073066B" w:rsidRPr="00373D98" w:rsidRDefault="0073066B" w:rsidP="0073066B">
      <w:pPr>
        <w:jc w:val="both"/>
        <w:rPr>
          <w:rFonts w:asciiTheme="majorHAnsi" w:hAnsiTheme="majorHAnsi" w:cstheme="majorHAnsi"/>
        </w:rPr>
      </w:pPr>
      <w:r w:rsidRPr="00373D98">
        <w:rPr>
          <w:rFonts w:asciiTheme="majorHAnsi" w:hAnsiTheme="majorHAnsi" w:cstheme="majorHAnsi"/>
        </w:rPr>
        <w:t xml:space="preserve">Where the plant and equipment connected with the supply or provision of services to a building are often integrated within the building </w:t>
      </w:r>
      <w:proofErr w:type="gramStart"/>
      <w:r w:rsidRPr="00373D98">
        <w:rPr>
          <w:rFonts w:asciiTheme="majorHAnsi" w:hAnsiTheme="majorHAnsi" w:cstheme="majorHAnsi"/>
        </w:rPr>
        <w:t>and,</w:t>
      </w:r>
      <w:proofErr w:type="gramEnd"/>
      <w:r w:rsidRPr="00373D98">
        <w:rPr>
          <w:rFonts w:asciiTheme="majorHAnsi" w:hAnsiTheme="majorHAnsi" w:cstheme="majorHAnsi"/>
        </w:rPr>
        <w:t xml:space="preserve"> once installed, are often difficult to separate from it; these items will normally form part of the property/ building and therefore the requirements of valuation of Properties must also be considered, where appropriate.</w:t>
      </w:r>
    </w:p>
    <w:p w14:paraId="716C08A8" w14:textId="68828AB3" w:rsidR="00FB08C7" w:rsidRPr="00373D98" w:rsidRDefault="00FB08C7" w:rsidP="00FB08C7">
      <w:pPr>
        <w:pStyle w:val="ListParagraph"/>
        <w:numPr>
          <w:ilvl w:val="0"/>
          <w:numId w:val="37"/>
        </w:numPr>
        <w:jc w:val="both"/>
        <w:rPr>
          <w:rFonts w:asciiTheme="majorHAnsi" w:hAnsiTheme="majorHAnsi" w:cstheme="majorHAnsi"/>
        </w:rPr>
      </w:pPr>
      <w:r w:rsidRPr="00373D98">
        <w:rPr>
          <w:rFonts w:asciiTheme="majorHAnsi" w:hAnsiTheme="majorHAnsi" w:cstheme="majorHAnsi"/>
        </w:rPr>
        <w:t xml:space="preserve">Examples include assets with the primary function of supplying electricity, gas, heating, cooling or ventilation to a building and equipment such as elevators. If the purpose of the valuation requires these items to be valued separately, the scope of work must include a statement to the effect that the value of these items would normally be included in the value of property and may not be separately </w:t>
      </w:r>
      <w:proofErr w:type="spellStart"/>
      <w:r w:rsidRPr="00373D98">
        <w:rPr>
          <w:rFonts w:asciiTheme="majorHAnsi" w:hAnsiTheme="majorHAnsi" w:cstheme="majorHAnsi"/>
        </w:rPr>
        <w:t>realisable</w:t>
      </w:r>
      <w:proofErr w:type="spellEnd"/>
      <w:r w:rsidRPr="00373D98">
        <w:rPr>
          <w:rFonts w:asciiTheme="majorHAnsi" w:hAnsiTheme="majorHAnsi" w:cstheme="majorHAnsi"/>
        </w:rPr>
        <w:t>.</w:t>
      </w:r>
    </w:p>
    <w:p w14:paraId="79F708BE" w14:textId="77777777" w:rsidR="00AF00BA" w:rsidRPr="00373D98" w:rsidRDefault="00AF00BA" w:rsidP="0073066B">
      <w:pPr>
        <w:jc w:val="both"/>
        <w:rPr>
          <w:rFonts w:asciiTheme="majorHAnsi" w:hAnsiTheme="majorHAnsi" w:cstheme="majorHAnsi"/>
        </w:rPr>
      </w:pPr>
      <w:r w:rsidRPr="00373D98">
        <w:rPr>
          <w:rFonts w:asciiTheme="majorHAnsi" w:hAnsiTheme="majorHAnsi" w:cstheme="majorHAnsi"/>
        </w:rPr>
        <w:t>One of the three principal valuation approaches described in IVS 103 Valuation Approaches or IFRS 13 Fair value measurement may all be applied to the valuation of Plant and Equipment depending on the nature of the assets, the information available, and the facts and circumstances surrounding the valuation.</w:t>
      </w:r>
    </w:p>
    <w:p w14:paraId="3B2AF4B7" w14:textId="3F1D6C72" w:rsidR="00AF00BA" w:rsidRPr="00373D98" w:rsidRDefault="00AF00BA" w:rsidP="00AF00BA">
      <w:pPr>
        <w:pStyle w:val="Heading4"/>
        <w:numPr>
          <w:ilvl w:val="2"/>
          <w:numId w:val="39"/>
        </w:numPr>
        <w:spacing w:after="240"/>
        <w:rPr>
          <w:rFonts w:cstheme="majorHAnsi"/>
        </w:rPr>
      </w:pPr>
      <w:bookmarkStart w:id="23" w:name="_Toc213491725"/>
      <w:r w:rsidRPr="00373D98">
        <w:rPr>
          <w:rFonts w:cstheme="majorHAnsi"/>
        </w:rPr>
        <w:t>Market Approach</w:t>
      </w:r>
      <w:bookmarkEnd w:id="23"/>
    </w:p>
    <w:p w14:paraId="493EC669" w14:textId="77777777" w:rsidR="00AF00BA" w:rsidRPr="00373D98" w:rsidRDefault="00AF00BA" w:rsidP="00AF00BA">
      <w:pPr>
        <w:spacing w:after="240"/>
        <w:jc w:val="both"/>
        <w:rPr>
          <w:rFonts w:asciiTheme="majorHAnsi" w:hAnsiTheme="majorHAnsi" w:cstheme="majorHAnsi"/>
        </w:rPr>
      </w:pPr>
      <w:r w:rsidRPr="00373D98">
        <w:rPr>
          <w:rFonts w:asciiTheme="majorHAnsi" w:hAnsiTheme="majorHAnsi" w:cstheme="majorHAnsi"/>
        </w:rPr>
        <w:t xml:space="preserve">For classes of plant and equipment that are homogenous, </w:t>
      </w:r>
      <w:proofErr w:type="spellStart"/>
      <w:r w:rsidRPr="00373D98">
        <w:rPr>
          <w:rFonts w:asciiTheme="majorHAnsi" w:hAnsiTheme="majorHAnsi" w:cstheme="majorHAnsi"/>
        </w:rPr>
        <w:t>eg</w:t>
      </w:r>
      <w:proofErr w:type="spellEnd"/>
      <w:r w:rsidRPr="00373D98">
        <w:rPr>
          <w:rFonts w:asciiTheme="majorHAnsi" w:hAnsiTheme="majorHAnsi" w:cstheme="majorHAnsi"/>
        </w:rPr>
        <w:t xml:space="preserve">, cranes, construction equipment, motor vehicles (light and heavy) and earthmoving equipment, the market approach is commonly used as there may be sufficient data of recent sales of similar assets. </w:t>
      </w:r>
    </w:p>
    <w:p w14:paraId="0C25CE9F" w14:textId="77777777" w:rsidR="00AF00BA" w:rsidRPr="00373D98" w:rsidRDefault="00AF00BA" w:rsidP="00AF00BA">
      <w:pPr>
        <w:spacing w:after="240"/>
        <w:jc w:val="both"/>
        <w:rPr>
          <w:rFonts w:asciiTheme="majorHAnsi" w:hAnsiTheme="majorHAnsi" w:cstheme="majorHAnsi"/>
        </w:rPr>
      </w:pPr>
      <w:r w:rsidRPr="00373D98">
        <w:rPr>
          <w:rFonts w:asciiTheme="majorHAnsi" w:hAnsiTheme="majorHAnsi" w:cstheme="majorHAnsi"/>
        </w:rPr>
        <w:lastRenderedPageBreak/>
        <w:t xml:space="preserve">However, many types of plant and equipment are specialized and in these </w:t>
      </w:r>
      <w:proofErr w:type="gramStart"/>
      <w:r w:rsidRPr="00373D98">
        <w:rPr>
          <w:rFonts w:asciiTheme="majorHAnsi" w:hAnsiTheme="majorHAnsi" w:cstheme="majorHAnsi"/>
        </w:rPr>
        <w:t>instances</w:t>
      </w:r>
      <w:proofErr w:type="gramEnd"/>
      <w:r w:rsidRPr="00373D98">
        <w:rPr>
          <w:rFonts w:asciiTheme="majorHAnsi" w:hAnsiTheme="majorHAnsi" w:cstheme="majorHAnsi"/>
        </w:rPr>
        <w:t xml:space="preserve"> care must be exercised in offering valuation using a market approach when available market data is poor or non-existent. In such circumstances it may be appropriate to adopt either the income approach or the cost approach to the valuation .</w:t>
      </w:r>
    </w:p>
    <w:p w14:paraId="5A8C9CEE" w14:textId="78749C04" w:rsidR="00AF00BA" w:rsidRPr="00373D98" w:rsidRDefault="00AF00BA" w:rsidP="00AF00BA">
      <w:pPr>
        <w:spacing w:after="240"/>
        <w:jc w:val="both"/>
        <w:rPr>
          <w:rFonts w:asciiTheme="majorHAnsi" w:hAnsiTheme="majorHAnsi" w:cstheme="majorHAnsi"/>
        </w:rPr>
      </w:pPr>
      <w:r w:rsidRPr="00373D98">
        <w:rPr>
          <w:rFonts w:asciiTheme="majorHAnsi" w:hAnsiTheme="majorHAnsi" w:cstheme="majorHAnsi"/>
        </w:rPr>
        <w:t xml:space="preserve">When using the market approach, types of evidence will </w:t>
      </w:r>
      <w:proofErr w:type="gramStart"/>
      <w:r w:rsidRPr="00373D98">
        <w:rPr>
          <w:rFonts w:asciiTheme="majorHAnsi" w:hAnsiTheme="majorHAnsi" w:cstheme="majorHAnsi"/>
        </w:rPr>
        <w:t>include;</w:t>
      </w:r>
      <w:proofErr w:type="gramEnd"/>
    </w:p>
    <w:p w14:paraId="3DFDD76E" w14:textId="11123DFC" w:rsidR="00AF00BA" w:rsidRPr="00373D98" w:rsidRDefault="00AF00BA" w:rsidP="00AF00BA">
      <w:pPr>
        <w:pStyle w:val="ListParagraph"/>
        <w:numPr>
          <w:ilvl w:val="1"/>
          <w:numId w:val="40"/>
        </w:numPr>
        <w:spacing w:after="240"/>
        <w:jc w:val="both"/>
        <w:rPr>
          <w:rFonts w:asciiTheme="majorHAnsi" w:hAnsiTheme="majorHAnsi" w:cstheme="majorHAnsi"/>
        </w:rPr>
      </w:pPr>
      <w:r w:rsidRPr="00373D98">
        <w:rPr>
          <w:rFonts w:asciiTheme="majorHAnsi" w:hAnsiTheme="majorHAnsi" w:cstheme="majorHAnsi"/>
        </w:rPr>
        <w:t>actual sales of identical assets,</w:t>
      </w:r>
    </w:p>
    <w:p w14:paraId="4E3E627D" w14:textId="164D2BE4" w:rsidR="00AF00BA" w:rsidRPr="00373D98" w:rsidRDefault="00AF00BA" w:rsidP="00AF00BA">
      <w:pPr>
        <w:pStyle w:val="ListParagraph"/>
        <w:numPr>
          <w:ilvl w:val="1"/>
          <w:numId w:val="40"/>
        </w:numPr>
        <w:spacing w:after="240"/>
        <w:jc w:val="both"/>
        <w:rPr>
          <w:rFonts w:asciiTheme="majorHAnsi" w:hAnsiTheme="majorHAnsi" w:cstheme="majorHAnsi"/>
        </w:rPr>
      </w:pPr>
      <w:r w:rsidRPr="00373D98">
        <w:rPr>
          <w:rFonts w:asciiTheme="majorHAnsi" w:hAnsiTheme="majorHAnsi" w:cstheme="majorHAnsi"/>
        </w:rPr>
        <w:t>actual sales of similar assets,</w:t>
      </w:r>
    </w:p>
    <w:p w14:paraId="4A5532D8" w14:textId="629220C5" w:rsidR="00AF00BA" w:rsidRPr="00373D98" w:rsidRDefault="00AF00BA" w:rsidP="00AF00BA">
      <w:pPr>
        <w:pStyle w:val="ListParagraph"/>
        <w:numPr>
          <w:ilvl w:val="1"/>
          <w:numId w:val="40"/>
        </w:numPr>
        <w:spacing w:after="240"/>
        <w:jc w:val="both"/>
        <w:rPr>
          <w:rFonts w:asciiTheme="majorHAnsi" w:hAnsiTheme="majorHAnsi" w:cstheme="majorHAnsi"/>
        </w:rPr>
      </w:pPr>
      <w:r w:rsidRPr="00373D98">
        <w:rPr>
          <w:rFonts w:asciiTheme="majorHAnsi" w:hAnsiTheme="majorHAnsi" w:cstheme="majorHAnsi"/>
        </w:rPr>
        <w:t>asking prices for identical assets,</w:t>
      </w:r>
    </w:p>
    <w:p w14:paraId="5A75EDCF" w14:textId="77777777" w:rsidR="00AF00BA" w:rsidRPr="00373D98" w:rsidRDefault="00AF00BA" w:rsidP="00AF00BA">
      <w:pPr>
        <w:pStyle w:val="ListParagraph"/>
        <w:numPr>
          <w:ilvl w:val="1"/>
          <w:numId w:val="40"/>
        </w:numPr>
        <w:spacing w:after="240"/>
        <w:jc w:val="both"/>
        <w:rPr>
          <w:rFonts w:asciiTheme="majorHAnsi" w:hAnsiTheme="majorHAnsi" w:cstheme="majorHAnsi"/>
        </w:rPr>
      </w:pPr>
      <w:r w:rsidRPr="00373D98">
        <w:rPr>
          <w:rFonts w:asciiTheme="majorHAnsi" w:hAnsiTheme="majorHAnsi" w:cstheme="majorHAnsi"/>
        </w:rPr>
        <w:t>asking prices for similar assets.</w:t>
      </w:r>
    </w:p>
    <w:p w14:paraId="112C1B2A" w14:textId="77777777" w:rsidR="00AF00BA" w:rsidRPr="00373D98" w:rsidRDefault="00AF00BA" w:rsidP="00AF00BA">
      <w:pPr>
        <w:spacing w:after="240"/>
        <w:jc w:val="both"/>
        <w:rPr>
          <w:rFonts w:asciiTheme="majorHAnsi" w:hAnsiTheme="majorHAnsi" w:cstheme="majorHAnsi"/>
        </w:rPr>
      </w:pPr>
      <w:r w:rsidRPr="00373D98">
        <w:rPr>
          <w:rFonts w:asciiTheme="majorHAnsi" w:hAnsiTheme="majorHAnsi" w:cstheme="majorHAnsi"/>
        </w:rPr>
        <w:t>Actual sales must take preference over asking prices and evidence available just prior to the valuation date should be preferred to that further from the valuation date.</w:t>
      </w:r>
    </w:p>
    <w:p w14:paraId="3C89B5A5" w14:textId="05175F20" w:rsidR="00905306" w:rsidRPr="00373D98" w:rsidRDefault="00905306" w:rsidP="00905306">
      <w:pPr>
        <w:spacing w:after="240"/>
        <w:jc w:val="both"/>
        <w:rPr>
          <w:rFonts w:asciiTheme="majorHAnsi" w:hAnsiTheme="majorHAnsi" w:cstheme="majorHAnsi"/>
        </w:rPr>
      </w:pPr>
      <w:r w:rsidRPr="00373D98">
        <w:rPr>
          <w:rFonts w:asciiTheme="majorHAnsi" w:hAnsiTheme="majorHAnsi" w:cstheme="majorHAnsi"/>
        </w:rPr>
        <w:t>Depending upon the asset(s) being valued, market evidence may be considered in a variety of ways including:</w:t>
      </w:r>
    </w:p>
    <w:p w14:paraId="2D4C13E4" w14:textId="3C1F13A8" w:rsidR="00905306" w:rsidRPr="00373D98" w:rsidRDefault="00905306" w:rsidP="00905306">
      <w:pPr>
        <w:pStyle w:val="ListParagraph"/>
        <w:numPr>
          <w:ilvl w:val="1"/>
          <w:numId w:val="41"/>
        </w:numPr>
        <w:spacing w:after="240"/>
        <w:jc w:val="both"/>
        <w:rPr>
          <w:rFonts w:asciiTheme="majorHAnsi" w:hAnsiTheme="majorHAnsi" w:cstheme="majorHAnsi"/>
        </w:rPr>
      </w:pPr>
      <w:r w:rsidRPr="00373D98">
        <w:rPr>
          <w:rFonts w:asciiTheme="majorHAnsi" w:hAnsiTheme="majorHAnsi" w:cstheme="majorHAnsi"/>
        </w:rPr>
        <w:t>piecemeal (</w:t>
      </w:r>
      <w:proofErr w:type="spellStart"/>
      <w:r w:rsidRPr="00373D98">
        <w:rPr>
          <w:rFonts w:asciiTheme="majorHAnsi" w:hAnsiTheme="majorHAnsi" w:cstheme="majorHAnsi"/>
        </w:rPr>
        <w:t>ie</w:t>
      </w:r>
      <w:proofErr w:type="spellEnd"/>
      <w:r w:rsidRPr="00373D98">
        <w:rPr>
          <w:rFonts w:asciiTheme="majorHAnsi" w:hAnsiTheme="majorHAnsi" w:cstheme="majorHAnsi"/>
        </w:rPr>
        <w:t>, individual asset basis),</w:t>
      </w:r>
    </w:p>
    <w:p w14:paraId="24EC2AB2" w14:textId="77777777" w:rsidR="00905306" w:rsidRPr="00373D98" w:rsidRDefault="00905306" w:rsidP="00905306">
      <w:pPr>
        <w:pStyle w:val="ListParagraph"/>
        <w:numPr>
          <w:ilvl w:val="1"/>
          <w:numId w:val="41"/>
        </w:numPr>
        <w:spacing w:after="240"/>
        <w:jc w:val="both"/>
        <w:rPr>
          <w:rFonts w:asciiTheme="majorHAnsi" w:hAnsiTheme="majorHAnsi" w:cstheme="majorHAnsi"/>
        </w:rPr>
      </w:pPr>
      <w:r w:rsidRPr="00373D98">
        <w:rPr>
          <w:rFonts w:asciiTheme="majorHAnsi" w:hAnsiTheme="majorHAnsi" w:cstheme="majorHAnsi"/>
        </w:rPr>
        <w:t>production line (</w:t>
      </w:r>
      <w:proofErr w:type="spellStart"/>
      <w:r w:rsidRPr="00373D98">
        <w:rPr>
          <w:rFonts w:asciiTheme="majorHAnsi" w:hAnsiTheme="majorHAnsi" w:cstheme="majorHAnsi"/>
        </w:rPr>
        <w:t>ie</w:t>
      </w:r>
      <w:proofErr w:type="spellEnd"/>
      <w:r w:rsidRPr="00373D98">
        <w:rPr>
          <w:rFonts w:asciiTheme="majorHAnsi" w:hAnsiTheme="majorHAnsi" w:cstheme="majorHAnsi"/>
        </w:rPr>
        <w:t>, a group of assets together forming an operating unit),</w:t>
      </w:r>
    </w:p>
    <w:p w14:paraId="132EBD58" w14:textId="77777777" w:rsidR="00905306" w:rsidRPr="00373D98" w:rsidRDefault="00905306" w:rsidP="00905306">
      <w:pPr>
        <w:pStyle w:val="ListParagraph"/>
        <w:numPr>
          <w:ilvl w:val="1"/>
          <w:numId w:val="41"/>
        </w:numPr>
        <w:spacing w:after="240"/>
        <w:jc w:val="both"/>
        <w:rPr>
          <w:rFonts w:asciiTheme="majorHAnsi" w:hAnsiTheme="majorHAnsi" w:cstheme="majorHAnsi"/>
        </w:rPr>
      </w:pPr>
      <w:r w:rsidRPr="00373D98">
        <w:rPr>
          <w:rFonts w:asciiTheme="majorHAnsi" w:hAnsiTheme="majorHAnsi" w:cstheme="majorHAnsi"/>
        </w:rPr>
        <w:t>whole of plant/facility (</w:t>
      </w:r>
      <w:proofErr w:type="spellStart"/>
      <w:r w:rsidRPr="00373D98">
        <w:rPr>
          <w:rFonts w:asciiTheme="majorHAnsi" w:hAnsiTheme="majorHAnsi" w:cstheme="majorHAnsi"/>
        </w:rPr>
        <w:t>ie</w:t>
      </w:r>
      <w:proofErr w:type="spellEnd"/>
      <w:r w:rsidRPr="00373D98">
        <w:rPr>
          <w:rFonts w:asciiTheme="majorHAnsi" w:hAnsiTheme="majorHAnsi" w:cstheme="majorHAnsi"/>
        </w:rPr>
        <w:t>, a production facility producing X units per day),</w:t>
      </w:r>
    </w:p>
    <w:p w14:paraId="032281CF" w14:textId="77777777" w:rsidR="00905306" w:rsidRPr="00373D98" w:rsidRDefault="00905306" w:rsidP="00905306">
      <w:pPr>
        <w:pStyle w:val="ListParagraph"/>
        <w:numPr>
          <w:ilvl w:val="1"/>
          <w:numId w:val="41"/>
        </w:numPr>
        <w:spacing w:after="240"/>
        <w:jc w:val="both"/>
        <w:rPr>
          <w:rFonts w:asciiTheme="majorHAnsi" w:hAnsiTheme="majorHAnsi" w:cstheme="majorHAnsi"/>
        </w:rPr>
      </w:pPr>
      <w:r w:rsidRPr="00373D98">
        <w:rPr>
          <w:rFonts w:asciiTheme="majorHAnsi" w:hAnsiTheme="majorHAnsi" w:cstheme="majorHAnsi"/>
        </w:rPr>
        <w:t>portfolio (</w:t>
      </w:r>
      <w:proofErr w:type="spellStart"/>
      <w:r w:rsidRPr="00373D98">
        <w:rPr>
          <w:rFonts w:asciiTheme="majorHAnsi" w:hAnsiTheme="majorHAnsi" w:cstheme="majorHAnsi"/>
        </w:rPr>
        <w:t>ie</w:t>
      </w:r>
      <w:proofErr w:type="spellEnd"/>
      <w:r w:rsidRPr="00373D98">
        <w:rPr>
          <w:rFonts w:asciiTheme="majorHAnsi" w:hAnsiTheme="majorHAnsi" w:cstheme="majorHAnsi"/>
        </w:rPr>
        <w:t>, a group of assets operating across a region).</w:t>
      </w:r>
    </w:p>
    <w:p w14:paraId="598323FE" w14:textId="53EC7784" w:rsidR="00905306" w:rsidRPr="00373D98" w:rsidRDefault="00905306" w:rsidP="00905306">
      <w:pPr>
        <w:spacing w:after="240"/>
        <w:jc w:val="both"/>
        <w:rPr>
          <w:rFonts w:asciiTheme="majorHAnsi" w:hAnsiTheme="majorHAnsi" w:cstheme="majorHAnsi"/>
        </w:rPr>
      </w:pPr>
      <w:r w:rsidRPr="00373D98">
        <w:rPr>
          <w:rFonts w:asciiTheme="majorHAnsi" w:hAnsiTheme="majorHAnsi" w:cstheme="majorHAnsi"/>
        </w:rPr>
        <w:t>Highest and best use considerations should always be a primary consideration for the valuer when considering the above types of evidence. The reliability of the evidence should be weighted according to its source. Depending upon the asset class considered as part of the valuation, evidence may be considered at a local, national or international level.</w:t>
      </w:r>
    </w:p>
    <w:p w14:paraId="12C8C2E2" w14:textId="538207E0" w:rsidR="00905306" w:rsidRPr="00373D98" w:rsidRDefault="00905306" w:rsidP="00905306">
      <w:pPr>
        <w:spacing w:after="240"/>
        <w:jc w:val="both"/>
        <w:rPr>
          <w:rFonts w:asciiTheme="majorHAnsi" w:hAnsiTheme="majorHAnsi" w:cstheme="majorHAnsi"/>
        </w:rPr>
      </w:pPr>
      <w:r w:rsidRPr="00373D98">
        <w:rPr>
          <w:rFonts w:asciiTheme="majorHAnsi" w:hAnsiTheme="majorHAnsi" w:cstheme="majorHAnsi"/>
        </w:rPr>
        <w:t>The market approach for actual sales of identical assets includes all forms of depreciation and obsolescence relating to an asset and no adjustment will be required.</w:t>
      </w:r>
    </w:p>
    <w:p w14:paraId="0C0EEB4C" w14:textId="03EF8386" w:rsidR="00905306" w:rsidRPr="00373D98" w:rsidRDefault="00905306" w:rsidP="00905306">
      <w:pPr>
        <w:spacing w:after="240"/>
        <w:jc w:val="both"/>
        <w:rPr>
          <w:rFonts w:asciiTheme="majorHAnsi" w:hAnsiTheme="majorHAnsi" w:cstheme="majorHAnsi"/>
        </w:rPr>
      </w:pPr>
      <w:r w:rsidRPr="00373D98">
        <w:rPr>
          <w:rFonts w:asciiTheme="majorHAnsi" w:hAnsiTheme="majorHAnsi" w:cstheme="majorHAnsi"/>
        </w:rPr>
        <w:t>When considering actual sales or asking prices of similar assets (and asking prices for identical assets), various adjustments may need to be considered to bring the evidence in line with the subject asset, and may include but not limited to adjustments for:</w:t>
      </w:r>
    </w:p>
    <w:p w14:paraId="33656CF2" w14:textId="0B645184" w:rsidR="00905306" w:rsidRPr="00373D98" w:rsidRDefault="00905306" w:rsidP="00905306">
      <w:pPr>
        <w:pStyle w:val="ListParagraph"/>
        <w:numPr>
          <w:ilvl w:val="1"/>
          <w:numId w:val="42"/>
        </w:numPr>
        <w:spacing w:after="240"/>
        <w:jc w:val="both"/>
        <w:rPr>
          <w:rFonts w:asciiTheme="majorHAnsi" w:hAnsiTheme="majorHAnsi" w:cstheme="majorHAnsi"/>
        </w:rPr>
      </w:pPr>
      <w:r w:rsidRPr="00373D98">
        <w:rPr>
          <w:rFonts w:asciiTheme="majorHAnsi" w:hAnsiTheme="majorHAnsi" w:cstheme="majorHAnsi"/>
        </w:rPr>
        <w:t xml:space="preserve">technical factors (size, capacity, rating, units of production, specification, </w:t>
      </w:r>
      <w:proofErr w:type="spellStart"/>
      <w:r w:rsidRPr="00373D98">
        <w:rPr>
          <w:rFonts w:asciiTheme="majorHAnsi" w:hAnsiTheme="majorHAnsi" w:cstheme="majorHAnsi"/>
        </w:rPr>
        <w:t>etc</w:t>
      </w:r>
      <w:proofErr w:type="spellEnd"/>
      <w:r w:rsidRPr="00373D98">
        <w:rPr>
          <w:rFonts w:asciiTheme="majorHAnsi" w:hAnsiTheme="majorHAnsi" w:cstheme="majorHAnsi"/>
        </w:rPr>
        <w:t>),</w:t>
      </w:r>
    </w:p>
    <w:p w14:paraId="55114B71" w14:textId="453DF790" w:rsidR="00905306" w:rsidRPr="00373D98" w:rsidRDefault="00905306" w:rsidP="00905306">
      <w:pPr>
        <w:pStyle w:val="ListParagraph"/>
        <w:numPr>
          <w:ilvl w:val="1"/>
          <w:numId w:val="42"/>
        </w:numPr>
        <w:spacing w:after="240"/>
        <w:jc w:val="both"/>
        <w:rPr>
          <w:rFonts w:asciiTheme="majorHAnsi" w:hAnsiTheme="majorHAnsi" w:cstheme="majorHAnsi"/>
        </w:rPr>
      </w:pPr>
      <w:r w:rsidRPr="00373D98">
        <w:rPr>
          <w:rFonts w:asciiTheme="majorHAnsi" w:hAnsiTheme="majorHAnsi" w:cstheme="majorHAnsi"/>
        </w:rPr>
        <w:t>deterioration and obsolescence factors (condition, intensity of use, age, maintenance, overhaul status, operating costs),</w:t>
      </w:r>
    </w:p>
    <w:p w14:paraId="13880B7D" w14:textId="38A4BA76" w:rsidR="00905306" w:rsidRPr="00373D98" w:rsidRDefault="00905306" w:rsidP="00905306">
      <w:pPr>
        <w:pStyle w:val="ListParagraph"/>
        <w:numPr>
          <w:ilvl w:val="1"/>
          <w:numId w:val="42"/>
        </w:numPr>
        <w:spacing w:after="240"/>
        <w:jc w:val="both"/>
        <w:rPr>
          <w:rFonts w:asciiTheme="majorHAnsi" w:hAnsiTheme="majorHAnsi" w:cstheme="majorHAnsi"/>
        </w:rPr>
      </w:pPr>
      <w:r w:rsidRPr="00373D98">
        <w:rPr>
          <w:rFonts w:asciiTheme="majorHAnsi" w:hAnsiTheme="majorHAnsi" w:cstheme="majorHAnsi"/>
        </w:rPr>
        <w:t xml:space="preserve">market-related factors (location, currency, quantities, asking price versus actual sales, environmental/licensing/compliance status, </w:t>
      </w:r>
      <w:proofErr w:type="spellStart"/>
      <w:r w:rsidRPr="00373D98">
        <w:rPr>
          <w:rFonts w:asciiTheme="majorHAnsi" w:hAnsiTheme="majorHAnsi" w:cstheme="majorHAnsi"/>
        </w:rPr>
        <w:t>etc</w:t>
      </w:r>
      <w:proofErr w:type="spellEnd"/>
      <w:r w:rsidRPr="00373D98">
        <w:rPr>
          <w:rFonts w:asciiTheme="majorHAnsi" w:hAnsiTheme="majorHAnsi" w:cstheme="majorHAnsi"/>
        </w:rPr>
        <w:t>),</w:t>
      </w:r>
    </w:p>
    <w:p w14:paraId="652D814A" w14:textId="323A6F7C" w:rsidR="00905306" w:rsidRPr="00373D98" w:rsidRDefault="00905306" w:rsidP="00905306">
      <w:pPr>
        <w:pStyle w:val="ListParagraph"/>
        <w:numPr>
          <w:ilvl w:val="1"/>
          <w:numId w:val="42"/>
        </w:numPr>
        <w:spacing w:after="240"/>
        <w:jc w:val="both"/>
        <w:rPr>
          <w:rFonts w:asciiTheme="majorHAnsi" w:hAnsiTheme="majorHAnsi" w:cstheme="majorHAnsi"/>
        </w:rPr>
      </w:pPr>
      <w:r w:rsidRPr="00373D98">
        <w:rPr>
          <w:rFonts w:asciiTheme="majorHAnsi" w:hAnsiTheme="majorHAnsi" w:cstheme="majorHAnsi"/>
        </w:rPr>
        <w:t xml:space="preserve">time or basis of value factors (date of sale versus valuation date, market sale versus liquidation sale, installed as-is/where-is versus removed, </w:t>
      </w:r>
      <w:proofErr w:type="spellStart"/>
      <w:r w:rsidRPr="00373D98">
        <w:rPr>
          <w:rFonts w:asciiTheme="majorHAnsi" w:hAnsiTheme="majorHAnsi" w:cstheme="majorHAnsi"/>
        </w:rPr>
        <w:t>etc</w:t>
      </w:r>
      <w:proofErr w:type="spellEnd"/>
      <w:r w:rsidRPr="00373D98">
        <w:rPr>
          <w:rFonts w:asciiTheme="majorHAnsi" w:hAnsiTheme="majorHAnsi" w:cstheme="majorHAnsi"/>
        </w:rPr>
        <w:t>).</w:t>
      </w:r>
    </w:p>
    <w:p w14:paraId="1DC5EDA5" w14:textId="4D6EE7F0" w:rsidR="00905306" w:rsidRPr="00373D98" w:rsidRDefault="00905306" w:rsidP="00154931">
      <w:pPr>
        <w:spacing w:after="240"/>
        <w:jc w:val="both"/>
        <w:rPr>
          <w:rFonts w:asciiTheme="majorHAnsi" w:hAnsiTheme="majorHAnsi" w:cstheme="majorHAnsi"/>
        </w:rPr>
      </w:pPr>
      <w:r w:rsidRPr="00373D98">
        <w:rPr>
          <w:rFonts w:asciiTheme="majorHAnsi" w:hAnsiTheme="majorHAnsi" w:cstheme="majorHAnsi"/>
        </w:rPr>
        <w:lastRenderedPageBreak/>
        <w:t xml:space="preserve">In </w:t>
      </w:r>
      <w:proofErr w:type="gramStart"/>
      <w:r w:rsidRPr="00373D98">
        <w:rPr>
          <w:rFonts w:asciiTheme="majorHAnsi" w:hAnsiTheme="majorHAnsi" w:cstheme="majorHAnsi"/>
        </w:rPr>
        <w:t>making adjustments to</w:t>
      </w:r>
      <w:proofErr w:type="gramEnd"/>
      <w:r w:rsidRPr="00373D98">
        <w:rPr>
          <w:rFonts w:asciiTheme="majorHAnsi" w:hAnsiTheme="majorHAnsi" w:cstheme="majorHAnsi"/>
        </w:rPr>
        <w:t xml:space="preserve"> bring the evidence in line with the subject asset, the valuer may use various methods including:</w:t>
      </w:r>
    </w:p>
    <w:p w14:paraId="4D3A8CC9" w14:textId="116FB706" w:rsidR="00905306" w:rsidRPr="00373D98" w:rsidRDefault="00905306" w:rsidP="00154931">
      <w:pPr>
        <w:pStyle w:val="ListParagraph"/>
        <w:numPr>
          <w:ilvl w:val="1"/>
          <w:numId w:val="33"/>
        </w:numPr>
        <w:spacing w:after="240"/>
        <w:jc w:val="both"/>
        <w:rPr>
          <w:rFonts w:asciiTheme="majorHAnsi" w:hAnsiTheme="majorHAnsi" w:cstheme="majorHAnsi"/>
        </w:rPr>
      </w:pPr>
      <w:r w:rsidRPr="00373D98">
        <w:rPr>
          <w:rFonts w:asciiTheme="majorHAnsi" w:hAnsiTheme="majorHAnsi" w:cstheme="majorHAnsi"/>
        </w:rPr>
        <w:t>direct adjustment (</w:t>
      </w:r>
      <w:proofErr w:type="spellStart"/>
      <w:r w:rsidRPr="00373D98">
        <w:rPr>
          <w:rFonts w:asciiTheme="majorHAnsi" w:hAnsiTheme="majorHAnsi" w:cstheme="majorHAnsi"/>
        </w:rPr>
        <w:t>ie</w:t>
      </w:r>
      <w:proofErr w:type="spellEnd"/>
      <w:r w:rsidRPr="00373D98">
        <w:rPr>
          <w:rFonts w:asciiTheme="majorHAnsi" w:hAnsiTheme="majorHAnsi" w:cstheme="majorHAnsi"/>
        </w:rPr>
        <w:t>, a currency or amount adjustment),</w:t>
      </w:r>
    </w:p>
    <w:p w14:paraId="27AEF24F" w14:textId="4B92BF6B" w:rsidR="00905306" w:rsidRPr="00373D98" w:rsidRDefault="00905306" w:rsidP="00154931">
      <w:pPr>
        <w:pStyle w:val="ListParagraph"/>
        <w:numPr>
          <w:ilvl w:val="1"/>
          <w:numId w:val="33"/>
        </w:numPr>
        <w:spacing w:after="240"/>
        <w:jc w:val="both"/>
        <w:rPr>
          <w:rFonts w:asciiTheme="majorHAnsi" w:hAnsiTheme="majorHAnsi" w:cstheme="majorHAnsi"/>
        </w:rPr>
      </w:pPr>
      <w:r w:rsidRPr="00373D98">
        <w:rPr>
          <w:rFonts w:asciiTheme="majorHAnsi" w:hAnsiTheme="majorHAnsi" w:cstheme="majorHAnsi"/>
        </w:rPr>
        <w:t>indirect adjustment (</w:t>
      </w:r>
      <w:proofErr w:type="spellStart"/>
      <w:r w:rsidRPr="00373D98">
        <w:rPr>
          <w:rFonts w:asciiTheme="majorHAnsi" w:hAnsiTheme="majorHAnsi" w:cstheme="majorHAnsi"/>
        </w:rPr>
        <w:t>ie</w:t>
      </w:r>
      <w:proofErr w:type="spellEnd"/>
      <w:r w:rsidRPr="00373D98">
        <w:rPr>
          <w:rFonts w:asciiTheme="majorHAnsi" w:hAnsiTheme="majorHAnsi" w:cstheme="majorHAnsi"/>
        </w:rPr>
        <w:t>, to adjust the evidence by a percentage).</w:t>
      </w:r>
    </w:p>
    <w:p w14:paraId="117ED022" w14:textId="77777777" w:rsidR="00154931" w:rsidRPr="00373D98" w:rsidRDefault="00154931" w:rsidP="00154931">
      <w:pPr>
        <w:spacing w:after="240"/>
        <w:jc w:val="both"/>
        <w:rPr>
          <w:rFonts w:asciiTheme="majorHAnsi" w:hAnsiTheme="majorHAnsi" w:cstheme="majorHAnsi"/>
        </w:rPr>
      </w:pPr>
      <w:r w:rsidRPr="00373D98">
        <w:rPr>
          <w:rFonts w:asciiTheme="majorHAnsi" w:hAnsiTheme="majorHAnsi" w:cstheme="majorHAnsi"/>
        </w:rPr>
        <w:t>Professional judgement must be used to ensure that the evidence being considered is appropriate having consideration to the nature of the valuation being performed.</w:t>
      </w:r>
    </w:p>
    <w:p w14:paraId="04285D2E" w14:textId="77777777" w:rsidR="00E212D9" w:rsidRPr="00373D98" w:rsidRDefault="00E212D9" w:rsidP="00E212D9">
      <w:pPr>
        <w:pStyle w:val="Heading4"/>
        <w:numPr>
          <w:ilvl w:val="2"/>
          <w:numId w:val="39"/>
        </w:numPr>
        <w:rPr>
          <w:rFonts w:cstheme="majorHAnsi"/>
        </w:rPr>
      </w:pPr>
      <w:bookmarkStart w:id="24" w:name="_Toc213491726"/>
      <w:r w:rsidRPr="00373D98">
        <w:rPr>
          <w:rFonts w:cstheme="majorHAnsi"/>
        </w:rPr>
        <w:t>Income Approach</w:t>
      </w:r>
      <w:bookmarkEnd w:id="24"/>
    </w:p>
    <w:p w14:paraId="5712C539" w14:textId="77777777" w:rsidR="00F45949" w:rsidRPr="00373D98" w:rsidRDefault="00F45949" w:rsidP="00F45949">
      <w:pPr>
        <w:pStyle w:val="Heading5"/>
        <w:jc w:val="both"/>
        <w:rPr>
          <w:rFonts w:cstheme="majorHAnsi"/>
          <w:color w:val="auto"/>
        </w:rPr>
      </w:pPr>
      <w:r w:rsidRPr="00373D98">
        <w:rPr>
          <w:rFonts w:cstheme="majorHAnsi"/>
          <w:color w:val="auto"/>
        </w:rPr>
        <w:t xml:space="preserve">The income approach to the valuation of plant and equipment can be used where specific cash flows can be identified for the asset or a group of complementary assets, </w:t>
      </w:r>
      <w:proofErr w:type="spellStart"/>
      <w:r w:rsidRPr="00373D98">
        <w:rPr>
          <w:rFonts w:cstheme="majorHAnsi"/>
          <w:color w:val="auto"/>
        </w:rPr>
        <w:t>eg</w:t>
      </w:r>
      <w:proofErr w:type="spellEnd"/>
      <w:r w:rsidRPr="00373D98">
        <w:rPr>
          <w:rFonts w:cstheme="majorHAnsi"/>
          <w:color w:val="auto"/>
        </w:rPr>
        <w:t>, where a group of assets forming a process plant is operating to produce a marketable product/service or generating income from a lease.</w:t>
      </w:r>
    </w:p>
    <w:p w14:paraId="35556FFA" w14:textId="740F4665" w:rsidR="00541761" w:rsidRPr="00373D98" w:rsidRDefault="00541761" w:rsidP="00541761">
      <w:pPr>
        <w:jc w:val="both"/>
        <w:rPr>
          <w:rFonts w:asciiTheme="majorHAnsi" w:hAnsiTheme="majorHAnsi" w:cstheme="majorHAnsi"/>
        </w:rPr>
      </w:pPr>
      <w:r w:rsidRPr="00373D98">
        <w:rPr>
          <w:rFonts w:asciiTheme="majorHAnsi" w:hAnsiTheme="majorHAnsi" w:cstheme="majorHAnsi"/>
        </w:rPr>
        <w:t>The income approach for an asset or group of complementary assets may be used where the main driver of value is largely driven by its income producing ability and afforded significant weight under the following circumstances such as:</w:t>
      </w:r>
    </w:p>
    <w:p w14:paraId="29B5AA8E" w14:textId="34C2854B" w:rsidR="00541761" w:rsidRPr="00373D98" w:rsidRDefault="00541761" w:rsidP="00541761">
      <w:pPr>
        <w:pStyle w:val="ListParagraph"/>
        <w:numPr>
          <w:ilvl w:val="0"/>
          <w:numId w:val="44"/>
        </w:numPr>
        <w:jc w:val="both"/>
        <w:rPr>
          <w:rFonts w:asciiTheme="majorHAnsi" w:hAnsiTheme="majorHAnsi" w:cstheme="majorHAnsi"/>
        </w:rPr>
      </w:pPr>
      <w:r w:rsidRPr="00373D98">
        <w:rPr>
          <w:rFonts w:asciiTheme="majorHAnsi" w:hAnsiTheme="majorHAnsi" w:cstheme="majorHAnsi"/>
        </w:rPr>
        <w:t>the asset or group of complementary assets have a high barrier to entry for market participants,</w:t>
      </w:r>
    </w:p>
    <w:p w14:paraId="395CD02B" w14:textId="7E878F2E" w:rsidR="00541761" w:rsidRPr="00373D98" w:rsidRDefault="00541761" w:rsidP="00541761">
      <w:pPr>
        <w:pStyle w:val="ListParagraph"/>
        <w:numPr>
          <w:ilvl w:val="0"/>
          <w:numId w:val="44"/>
        </w:numPr>
        <w:jc w:val="both"/>
        <w:rPr>
          <w:rFonts w:asciiTheme="majorHAnsi" w:hAnsiTheme="majorHAnsi" w:cstheme="majorHAnsi"/>
        </w:rPr>
      </w:pPr>
      <w:r w:rsidRPr="00373D98">
        <w:rPr>
          <w:rFonts w:asciiTheme="majorHAnsi" w:hAnsiTheme="majorHAnsi" w:cstheme="majorHAnsi"/>
        </w:rPr>
        <w:t>there is significant time involved to create an asset or group of complementary assets of equal utility, whether by purchase or construction,</w:t>
      </w:r>
    </w:p>
    <w:p w14:paraId="38AADF82" w14:textId="24D7EEF6" w:rsidR="00541761" w:rsidRPr="00373D98" w:rsidRDefault="00541761" w:rsidP="00541761">
      <w:pPr>
        <w:pStyle w:val="ListParagraph"/>
        <w:numPr>
          <w:ilvl w:val="0"/>
          <w:numId w:val="44"/>
        </w:numPr>
        <w:jc w:val="both"/>
        <w:rPr>
          <w:rFonts w:asciiTheme="majorHAnsi" w:hAnsiTheme="majorHAnsi" w:cstheme="majorHAnsi"/>
        </w:rPr>
      </w:pPr>
      <w:r w:rsidRPr="00373D98">
        <w:rPr>
          <w:rFonts w:asciiTheme="majorHAnsi" w:hAnsiTheme="majorHAnsi" w:cstheme="majorHAnsi"/>
        </w:rPr>
        <w:t>there are potential legal or regulatory hurdles to create an asset or group of complementary assets of equal utility,</w:t>
      </w:r>
    </w:p>
    <w:p w14:paraId="38D83523" w14:textId="77777777" w:rsidR="00541761" w:rsidRPr="00373D98" w:rsidRDefault="00541761" w:rsidP="00541761">
      <w:pPr>
        <w:pStyle w:val="ListParagraph"/>
        <w:numPr>
          <w:ilvl w:val="0"/>
          <w:numId w:val="44"/>
        </w:numPr>
        <w:jc w:val="both"/>
        <w:rPr>
          <w:rFonts w:asciiTheme="majorHAnsi" w:hAnsiTheme="majorHAnsi" w:cstheme="majorHAnsi"/>
        </w:rPr>
      </w:pPr>
      <w:r w:rsidRPr="00373D98">
        <w:rPr>
          <w:rFonts w:asciiTheme="majorHAnsi" w:hAnsiTheme="majorHAnsi" w:cstheme="majorHAnsi"/>
        </w:rPr>
        <w:t xml:space="preserve">a purchaser would be willing to pay a significant premium for the ability to use the asset or group of complementary assets immediately, due to </w:t>
      </w:r>
      <w:proofErr w:type="spellStart"/>
      <w:r w:rsidRPr="00373D98">
        <w:rPr>
          <w:rFonts w:asciiTheme="majorHAnsi" w:hAnsiTheme="majorHAnsi" w:cstheme="majorHAnsi"/>
        </w:rPr>
        <w:t>favourable</w:t>
      </w:r>
      <w:proofErr w:type="spellEnd"/>
      <w:r w:rsidRPr="00373D98">
        <w:rPr>
          <w:rFonts w:asciiTheme="majorHAnsi" w:hAnsiTheme="majorHAnsi" w:cstheme="majorHAnsi"/>
        </w:rPr>
        <w:t xml:space="preserve"> market economics and/or more immediate cashflow certainty,</w:t>
      </w:r>
    </w:p>
    <w:p w14:paraId="10AE61E8" w14:textId="0890DF6E" w:rsidR="00541761" w:rsidRPr="00373D98" w:rsidRDefault="00541761" w:rsidP="00541761">
      <w:pPr>
        <w:pStyle w:val="ListParagraph"/>
        <w:numPr>
          <w:ilvl w:val="0"/>
          <w:numId w:val="44"/>
        </w:numPr>
        <w:jc w:val="both"/>
        <w:rPr>
          <w:rFonts w:asciiTheme="majorHAnsi" w:hAnsiTheme="majorHAnsi" w:cstheme="majorHAnsi"/>
        </w:rPr>
      </w:pPr>
      <w:r w:rsidRPr="00373D98">
        <w:rPr>
          <w:rFonts w:asciiTheme="majorHAnsi" w:hAnsiTheme="majorHAnsi" w:cstheme="majorHAnsi"/>
        </w:rPr>
        <w:t>there is undue inconvenience, risk or other factors involved in obtaining an asset or group of complementary assets of equal utility, whether by purchase or construction.</w:t>
      </w:r>
    </w:p>
    <w:p w14:paraId="56ACE256" w14:textId="70E2DD35" w:rsidR="00F45949" w:rsidRPr="00373D98" w:rsidRDefault="00F45949" w:rsidP="00541761">
      <w:pPr>
        <w:pStyle w:val="Heading5"/>
        <w:jc w:val="both"/>
        <w:rPr>
          <w:rFonts w:cstheme="majorHAnsi"/>
          <w:color w:val="auto"/>
        </w:rPr>
      </w:pPr>
      <w:r w:rsidRPr="00373D98">
        <w:rPr>
          <w:rFonts w:cstheme="majorHAnsi"/>
          <w:color w:val="auto"/>
        </w:rPr>
        <w:t xml:space="preserve">When an income approach is used to value </w:t>
      </w:r>
      <w:r w:rsidR="00541761" w:rsidRPr="00373D98">
        <w:rPr>
          <w:rFonts w:cstheme="majorHAnsi"/>
          <w:color w:val="auto"/>
        </w:rPr>
        <w:t>plant and equipment</w:t>
      </w:r>
      <w:r w:rsidRPr="00373D98">
        <w:rPr>
          <w:rFonts w:cstheme="majorHAnsi"/>
          <w:color w:val="auto"/>
        </w:rPr>
        <w:t>, the valuation must consider the cash flows expected to be generated over the explicit forecast period of the asset(s) as well as the value of the asset(s) at the end of the explicit forecast period, often referred to as terminal value.</w:t>
      </w:r>
    </w:p>
    <w:p w14:paraId="6C42E1C5" w14:textId="77777777" w:rsidR="00905ACA" w:rsidRPr="00373D98" w:rsidRDefault="00905ACA" w:rsidP="00905ACA">
      <w:pPr>
        <w:rPr>
          <w:rFonts w:asciiTheme="majorHAnsi" w:hAnsiTheme="majorHAnsi" w:cstheme="majorHAnsi"/>
        </w:rPr>
      </w:pPr>
      <w:r w:rsidRPr="00373D98">
        <w:rPr>
          <w:rFonts w:asciiTheme="majorHAnsi" w:hAnsiTheme="majorHAnsi" w:cstheme="majorHAnsi"/>
          <w:b/>
          <w:bCs/>
          <w:i/>
          <w:iCs/>
        </w:rPr>
        <w:t>The key steps in the DCF method are</w:t>
      </w:r>
      <w:r w:rsidRPr="00373D98">
        <w:rPr>
          <w:rFonts w:asciiTheme="majorHAnsi" w:hAnsiTheme="majorHAnsi" w:cstheme="majorHAnsi"/>
        </w:rPr>
        <w:t>:</w:t>
      </w:r>
    </w:p>
    <w:p w14:paraId="5CDC2BFD" w14:textId="73FEBD3B" w:rsidR="00905ACA" w:rsidRPr="00373D98" w:rsidRDefault="00905ACA" w:rsidP="00905ACA">
      <w:pPr>
        <w:pStyle w:val="ListParagraph"/>
        <w:numPr>
          <w:ilvl w:val="0"/>
          <w:numId w:val="46"/>
        </w:numPr>
        <w:rPr>
          <w:rFonts w:asciiTheme="majorHAnsi" w:hAnsiTheme="majorHAnsi" w:cstheme="majorHAnsi"/>
        </w:rPr>
      </w:pPr>
      <w:r w:rsidRPr="00373D98">
        <w:rPr>
          <w:rFonts w:asciiTheme="majorHAnsi" w:hAnsiTheme="majorHAnsi" w:cstheme="majorHAnsi"/>
        </w:rPr>
        <w:t>choose the most appropriate type of cash flow for the nature of the subject asset and the valuation (</w:t>
      </w:r>
      <w:proofErr w:type="spellStart"/>
      <w:r w:rsidRPr="00373D98">
        <w:rPr>
          <w:rFonts w:asciiTheme="majorHAnsi" w:hAnsiTheme="majorHAnsi" w:cstheme="majorHAnsi"/>
        </w:rPr>
        <w:t>ie</w:t>
      </w:r>
      <w:proofErr w:type="spellEnd"/>
      <w:r w:rsidRPr="00373D98">
        <w:rPr>
          <w:rFonts w:asciiTheme="majorHAnsi" w:hAnsiTheme="majorHAnsi" w:cstheme="majorHAnsi"/>
        </w:rPr>
        <w:t xml:space="preserve">, pre-tax or post-tax, total cash flows or cash flows to equity, real or nominal, </w:t>
      </w:r>
      <w:proofErr w:type="spellStart"/>
      <w:r w:rsidRPr="00373D98">
        <w:rPr>
          <w:rFonts w:asciiTheme="majorHAnsi" w:hAnsiTheme="majorHAnsi" w:cstheme="majorHAnsi"/>
        </w:rPr>
        <w:t>etc</w:t>
      </w:r>
      <w:proofErr w:type="spellEnd"/>
      <w:r w:rsidRPr="00373D98">
        <w:rPr>
          <w:rFonts w:asciiTheme="majorHAnsi" w:hAnsiTheme="majorHAnsi" w:cstheme="majorHAnsi"/>
        </w:rPr>
        <w:t>),</w:t>
      </w:r>
    </w:p>
    <w:p w14:paraId="059078A2" w14:textId="65097B9B" w:rsidR="00905ACA" w:rsidRPr="00373D98" w:rsidRDefault="00905ACA" w:rsidP="00905ACA">
      <w:pPr>
        <w:pStyle w:val="ListParagraph"/>
        <w:numPr>
          <w:ilvl w:val="0"/>
          <w:numId w:val="46"/>
        </w:numPr>
        <w:rPr>
          <w:rFonts w:asciiTheme="majorHAnsi" w:hAnsiTheme="majorHAnsi" w:cstheme="majorHAnsi"/>
        </w:rPr>
      </w:pPr>
      <w:r w:rsidRPr="00373D98">
        <w:rPr>
          <w:rFonts w:asciiTheme="majorHAnsi" w:hAnsiTheme="majorHAnsi" w:cstheme="majorHAnsi"/>
        </w:rPr>
        <w:t xml:space="preserve">determine the most appropriate </w:t>
      </w:r>
      <w:r w:rsidRPr="00373D98">
        <w:rPr>
          <w:rFonts w:asciiTheme="majorHAnsi" w:hAnsiTheme="majorHAnsi" w:cstheme="majorHAnsi"/>
          <w:b/>
          <w:bCs/>
        </w:rPr>
        <w:t>explicit period</w:t>
      </w:r>
      <w:r w:rsidRPr="00373D98">
        <w:rPr>
          <w:rFonts w:asciiTheme="majorHAnsi" w:hAnsiTheme="majorHAnsi" w:cstheme="majorHAnsi"/>
        </w:rPr>
        <w:t>, if any, over which the cash flow will be forecast,</w:t>
      </w:r>
    </w:p>
    <w:p w14:paraId="12708BA9" w14:textId="5FB65054" w:rsidR="00905ACA" w:rsidRPr="00373D98" w:rsidRDefault="00905ACA" w:rsidP="00905ACA">
      <w:pPr>
        <w:pStyle w:val="ListParagraph"/>
        <w:numPr>
          <w:ilvl w:val="0"/>
          <w:numId w:val="46"/>
        </w:numPr>
        <w:rPr>
          <w:rFonts w:asciiTheme="majorHAnsi" w:hAnsiTheme="majorHAnsi" w:cstheme="majorHAnsi"/>
        </w:rPr>
      </w:pPr>
      <w:r w:rsidRPr="00373D98">
        <w:rPr>
          <w:rFonts w:asciiTheme="majorHAnsi" w:hAnsiTheme="majorHAnsi" w:cstheme="majorHAnsi"/>
        </w:rPr>
        <w:t>prepare cash flow forecasts for that period,</w:t>
      </w:r>
    </w:p>
    <w:p w14:paraId="617FE1B3" w14:textId="77777777" w:rsidR="00905ACA" w:rsidRPr="00373D98" w:rsidRDefault="00905ACA" w:rsidP="00905ACA">
      <w:pPr>
        <w:pStyle w:val="ListParagraph"/>
        <w:numPr>
          <w:ilvl w:val="0"/>
          <w:numId w:val="46"/>
        </w:numPr>
        <w:rPr>
          <w:rFonts w:asciiTheme="majorHAnsi" w:hAnsiTheme="majorHAnsi" w:cstheme="majorHAnsi"/>
        </w:rPr>
      </w:pPr>
      <w:r w:rsidRPr="00373D98">
        <w:rPr>
          <w:rFonts w:asciiTheme="majorHAnsi" w:hAnsiTheme="majorHAnsi" w:cstheme="majorHAnsi"/>
        </w:rPr>
        <w:lastRenderedPageBreak/>
        <w:t xml:space="preserve">determine whether a </w:t>
      </w:r>
      <w:r w:rsidRPr="00373D98">
        <w:rPr>
          <w:rFonts w:asciiTheme="majorHAnsi" w:hAnsiTheme="majorHAnsi" w:cstheme="majorHAnsi"/>
          <w:b/>
          <w:bCs/>
        </w:rPr>
        <w:t>terminal value</w:t>
      </w:r>
      <w:r w:rsidRPr="00373D98">
        <w:rPr>
          <w:rFonts w:asciiTheme="majorHAnsi" w:hAnsiTheme="majorHAnsi" w:cstheme="majorHAnsi"/>
        </w:rPr>
        <w:t xml:space="preserve"> is appropriate for the subject asset at the end of the explicit forecast period (if any) and then determine the appropriate terminal value for the nature of the asset,</w:t>
      </w:r>
    </w:p>
    <w:p w14:paraId="7C0974F4" w14:textId="77777777" w:rsidR="00905ACA" w:rsidRPr="00373D98" w:rsidRDefault="00905ACA" w:rsidP="00905ACA">
      <w:pPr>
        <w:pStyle w:val="ListParagraph"/>
        <w:numPr>
          <w:ilvl w:val="0"/>
          <w:numId w:val="46"/>
        </w:numPr>
        <w:rPr>
          <w:rFonts w:asciiTheme="majorHAnsi" w:hAnsiTheme="majorHAnsi" w:cstheme="majorHAnsi"/>
        </w:rPr>
      </w:pPr>
      <w:r w:rsidRPr="00373D98">
        <w:rPr>
          <w:rFonts w:asciiTheme="majorHAnsi" w:hAnsiTheme="majorHAnsi" w:cstheme="majorHAnsi"/>
        </w:rPr>
        <w:t xml:space="preserve">determine the appropriate </w:t>
      </w:r>
      <w:r w:rsidRPr="00373D98">
        <w:rPr>
          <w:rFonts w:asciiTheme="majorHAnsi" w:hAnsiTheme="majorHAnsi" w:cstheme="majorHAnsi"/>
          <w:b/>
          <w:bCs/>
        </w:rPr>
        <w:t>discount rate</w:t>
      </w:r>
      <w:r w:rsidRPr="00373D98">
        <w:rPr>
          <w:rFonts w:asciiTheme="majorHAnsi" w:hAnsiTheme="majorHAnsi" w:cstheme="majorHAnsi"/>
        </w:rPr>
        <w:t>, and</w:t>
      </w:r>
    </w:p>
    <w:p w14:paraId="122EADE5" w14:textId="7433A337" w:rsidR="00F45949" w:rsidRPr="00373D98" w:rsidRDefault="00905ACA" w:rsidP="00905ACA">
      <w:pPr>
        <w:pStyle w:val="ListParagraph"/>
        <w:numPr>
          <w:ilvl w:val="0"/>
          <w:numId w:val="46"/>
        </w:numPr>
        <w:rPr>
          <w:rFonts w:asciiTheme="majorHAnsi" w:hAnsiTheme="majorHAnsi" w:cstheme="majorHAnsi"/>
        </w:rPr>
      </w:pPr>
      <w:r w:rsidRPr="00373D98">
        <w:rPr>
          <w:rFonts w:asciiTheme="majorHAnsi" w:hAnsiTheme="majorHAnsi" w:cstheme="majorHAnsi"/>
        </w:rPr>
        <w:t>apply the discount rate to the forecasted future cash flow, including the terminal value, if any.</w:t>
      </w:r>
    </w:p>
    <w:p w14:paraId="501C3356" w14:textId="77777777" w:rsidR="00905ACA" w:rsidRPr="00373D98" w:rsidRDefault="00905ACA" w:rsidP="00905ACA">
      <w:pPr>
        <w:pStyle w:val="Heading5"/>
        <w:jc w:val="both"/>
        <w:rPr>
          <w:rFonts w:cstheme="majorHAnsi"/>
          <w:color w:val="auto"/>
        </w:rPr>
      </w:pPr>
      <w:r w:rsidRPr="00373D98">
        <w:rPr>
          <w:rFonts w:cstheme="majorHAnsi"/>
          <w:color w:val="auto"/>
        </w:rPr>
        <w:t>When a valuation is being developed in a currency (“the valuation currency”) that differs from the currency used in the cash flow projections (“the functional currency”), the valuer should use one of the following two currency translation methods:</w:t>
      </w:r>
    </w:p>
    <w:p w14:paraId="64EA4FEB" w14:textId="5A3CA150" w:rsidR="00905ACA" w:rsidRPr="00373D98" w:rsidRDefault="00905ACA" w:rsidP="00905ACA">
      <w:pPr>
        <w:pStyle w:val="Heading5"/>
        <w:numPr>
          <w:ilvl w:val="1"/>
          <w:numId w:val="48"/>
        </w:numPr>
        <w:jc w:val="both"/>
        <w:rPr>
          <w:rFonts w:cstheme="majorHAnsi"/>
          <w:color w:val="auto"/>
        </w:rPr>
      </w:pPr>
      <w:r w:rsidRPr="00373D98">
        <w:rPr>
          <w:rFonts w:cstheme="majorHAnsi"/>
          <w:color w:val="auto"/>
        </w:rPr>
        <w:t>Discount the cash flows in the functional currency using a discount rate appropriate for that functional currency. Convert the present value of the cash flows to the valuation currency at the spot rate on the valuation date.</w:t>
      </w:r>
    </w:p>
    <w:p w14:paraId="74FF589C" w14:textId="77777777" w:rsidR="00B25BC3" w:rsidRPr="00373D98" w:rsidRDefault="00905ACA" w:rsidP="00905ACA">
      <w:pPr>
        <w:pStyle w:val="Heading5"/>
        <w:numPr>
          <w:ilvl w:val="1"/>
          <w:numId w:val="48"/>
        </w:numPr>
        <w:jc w:val="both"/>
        <w:rPr>
          <w:rFonts w:cstheme="majorHAnsi"/>
          <w:color w:val="auto"/>
        </w:rPr>
      </w:pPr>
      <w:r w:rsidRPr="00373D98">
        <w:rPr>
          <w:rFonts w:cstheme="majorHAnsi"/>
          <w:color w:val="auto"/>
        </w:rPr>
        <w:t>Use a currency exchange forward curve to translate the functional currency projections into valuation currency projections and discount the projections using a discount rate appropriate for the valuation currency. When a reliable currency exchange forward curve is not available (for example, due to lack of liquidity in the relevant currency exchange markets), it may not be possible to use this method.</w:t>
      </w:r>
    </w:p>
    <w:p w14:paraId="3539559F" w14:textId="77777777" w:rsidR="00F660DD" w:rsidRPr="00373D98" w:rsidRDefault="00F660DD" w:rsidP="00F660DD">
      <w:pPr>
        <w:rPr>
          <w:rFonts w:asciiTheme="majorHAnsi" w:hAnsiTheme="majorHAnsi" w:cstheme="majorHAnsi"/>
        </w:rPr>
      </w:pPr>
    </w:p>
    <w:p w14:paraId="7B2ED6E4" w14:textId="52C1442F" w:rsidR="00B27345" w:rsidRPr="00373D98" w:rsidRDefault="00B27345" w:rsidP="00B27345">
      <w:pPr>
        <w:pStyle w:val="Heading4"/>
        <w:numPr>
          <w:ilvl w:val="2"/>
          <w:numId w:val="39"/>
        </w:numPr>
        <w:rPr>
          <w:rFonts w:cstheme="majorHAnsi"/>
        </w:rPr>
      </w:pPr>
      <w:bookmarkStart w:id="25" w:name="_Toc213491727"/>
      <w:r w:rsidRPr="00373D98">
        <w:rPr>
          <w:rFonts w:cstheme="majorHAnsi"/>
        </w:rPr>
        <w:t>Cost Approach</w:t>
      </w:r>
      <w:bookmarkEnd w:id="25"/>
    </w:p>
    <w:p w14:paraId="1C37A4C0" w14:textId="710B2A3A" w:rsidR="00B27345" w:rsidRPr="00373D98" w:rsidRDefault="00B27345" w:rsidP="00B25BC3">
      <w:pPr>
        <w:pStyle w:val="Heading5"/>
        <w:jc w:val="both"/>
        <w:rPr>
          <w:rFonts w:cstheme="majorHAnsi"/>
        </w:rPr>
      </w:pPr>
      <w:r w:rsidRPr="00373D98">
        <w:rPr>
          <w:rFonts w:cstheme="majorHAnsi"/>
          <w:color w:val="auto"/>
        </w:rPr>
        <w:t xml:space="preserve">The cost approach is commonly adopted for </w:t>
      </w:r>
      <w:r w:rsidR="00DE5673" w:rsidRPr="00373D98">
        <w:rPr>
          <w:rFonts w:cstheme="majorHAnsi"/>
          <w:color w:val="auto"/>
        </w:rPr>
        <w:t>valuing plant and equipment</w:t>
      </w:r>
      <w:r w:rsidRPr="00373D98">
        <w:rPr>
          <w:rFonts w:cstheme="majorHAnsi"/>
          <w:color w:val="auto"/>
        </w:rPr>
        <w:t xml:space="preserve">, particularly in the case of individual assets that are specialized or special-use facilities. The first step is to estimate the cost to a market participant of replacing the subject asset by reference to the lower of either reproduction or replacement </w:t>
      </w:r>
      <w:r w:rsidRPr="00373D98">
        <w:rPr>
          <w:rFonts w:cstheme="majorHAnsi"/>
        </w:rPr>
        <w:t>cost.</w:t>
      </w:r>
    </w:p>
    <w:p w14:paraId="67253322" w14:textId="77777777" w:rsidR="00B27345" w:rsidRPr="00373D98" w:rsidRDefault="00B27345" w:rsidP="00B25BC3">
      <w:pPr>
        <w:pStyle w:val="Heading5"/>
        <w:jc w:val="both"/>
        <w:rPr>
          <w:rFonts w:cstheme="majorHAnsi"/>
          <w:color w:val="auto"/>
        </w:rPr>
      </w:pPr>
      <w:r w:rsidRPr="00373D98">
        <w:rPr>
          <w:rFonts w:cstheme="majorHAnsi"/>
          <w:color w:val="auto"/>
        </w:rPr>
        <w:t xml:space="preserve">The replacement cost is the cost of obtaining an alternative asset of equivalent utility; this can either be a modern equivalent providing the same functionality or the cost of reproducing an exact replica of the subject asset. </w:t>
      </w:r>
    </w:p>
    <w:p w14:paraId="286EAC82" w14:textId="5FD6A16F" w:rsidR="00891F11" w:rsidRPr="00373D98" w:rsidRDefault="00891F11" w:rsidP="00F660DD">
      <w:pPr>
        <w:pStyle w:val="Heading4"/>
        <w:numPr>
          <w:ilvl w:val="3"/>
          <w:numId w:val="39"/>
        </w:numPr>
        <w:spacing w:after="240"/>
        <w:rPr>
          <w:rFonts w:cstheme="majorHAnsi"/>
        </w:rPr>
      </w:pPr>
      <w:bookmarkStart w:id="26" w:name="_Toc213491728"/>
      <w:r w:rsidRPr="00373D98">
        <w:rPr>
          <w:rFonts w:cstheme="majorHAnsi"/>
        </w:rPr>
        <w:t>Replacement Cost Method</w:t>
      </w:r>
      <w:bookmarkEnd w:id="26"/>
    </w:p>
    <w:p w14:paraId="38DCB74B" w14:textId="6C096841" w:rsidR="00891F11" w:rsidRPr="00373D98" w:rsidRDefault="00891F11" w:rsidP="00F660DD">
      <w:pPr>
        <w:jc w:val="both"/>
        <w:rPr>
          <w:rFonts w:asciiTheme="majorHAnsi" w:hAnsiTheme="majorHAnsi" w:cstheme="majorHAnsi"/>
        </w:rPr>
      </w:pPr>
      <w:r w:rsidRPr="00373D98">
        <w:rPr>
          <w:rFonts w:asciiTheme="majorHAnsi" w:hAnsiTheme="majorHAnsi" w:cstheme="majorHAnsi"/>
        </w:rPr>
        <w:t>Generally, replacement cost is the cost that is relevant to determining the price that a participant would pay as it is based on replicating the utility of the asset, not the exact physical properties of the asset.</w:t>
      </w:r>
    </w:p>
    <w:p w14:paraId="06707757" w14:textId="2A8D1DD2" w:rsidR="00891F11" w:rsidRPr="00373D98" w:rsidRDefault="00891F11" w:rsidP="00F660DD">
      <w:pPr>
        <w:jc w:val="both"/>
        <w:rPr>
          <w:rFonts w:asciiTheme="majorHAnsi" w:hAnsiTheme="majorHAnsi" w:cstheme="majorHAnsi"/>
        </w:rPr>
      </w:pPr>
      <w:proofErr w:type="gramStart"/>
      <w:r w:rsidRPr="00373D98">
        <w:rPr>
          <w:rFonts w:asciiTheme="majorHAnsi" w:hAnsiTheme="majorHAnsi" w:cstheme="majorHAnsi"/>
        </w:rPr>
        <w:t>Usually</w:t>
      </w:r>
      <w:proofErr w:type="gramEnd"/>
      <w:r w:rsidRPr="00373D98">
        <w:rPr>
          <w:rFonts w:asciiTheme="majorHAnsi" w:hAnsiTheme="majorHAnsi" w:cstheme="majorHAnsi"/>
        </w:rPr>
        <w:t xml:space="preserve"> replacement cost is adjusted for physical deterioration and all relevant forms of obsolescence. After such adjustments, this can be referred to as depreciated replacement cost.</w:t>
      </w:r>
    </w:p>
    <w:p w14:paraId="384CA4EF" w14:textId="77777777" w:rsidR="00F660DD" w:rsidRPr="00373D98" w:rsidRDefault="00F660DD" w:rsidP="00F660DD">
      <w:pPr>
        <w:jc w:val="both"/>
        <w:rPr>
          <w:rFonts w:asciiTheme="majorHAnsi" w:hAnsiTheme="majorHAnsi" w:cstheme="majorHAnsi"/>
        </w:rPr>
      </w:pPr>
    </w:p>
    <w:p w14:paraId="239EF5D6" w14:textId="7A195130" w:rsidR="00891F11" w:rsidRPr="00373D98" w:rsidRDefault="00891F11" w:rsidP="00F660DD">
      <w:pPr>
        <w:jc w:val="both"/>
        <w:rPr>
          <w:rFonts w:asciiTheme="majorHAnsi" w:hAnsiTheme="majorHAnsi" w:cstheme="majorHAnsi"/>
        </w:rPr>
      </w:pPr>
      <w:r w:rsidRPr="00373D98">
        <w:rPr>
          <w:rFonts w:asciiTheme="majorHAnsi" w:hAnsiTheme="majorHAnsi" w:cstheme="majorHAnsi"/>
          <w:b/>
          <w:bCs/>
          <w:i/>
          <w:iCs/>
        </w:rPr>
        <w:lastRenderedPageBreak/>
        <w:t>The key steps in the replacement cost method are</w:t>
      </w:r>
      <w:r w:rsidRPr="00373D98">
        <w:rPr>
          <w:rFonts w:asciiTheme="majorHAnsi" w:hAnsiTheme="majorHAnsi" w:cstheme="majorHAnsi"/>
        </w:rPr>
        <w:t>:</w:t>
      </w:r>
    </w:p>
    <w:p w14:paraId="2449D32F" w14:textId="08CE1BAB" w:rsidR="00891F11" w:rsidRPr="00373D98" w:rsidRDefault="00891F11" w:rsidP="00F660DD">
      <w:pPr>
        <w:pStyle w:val="ListParagraph"/>
        <w:numPr>
          <w:ilvl w:val="1"/>
          <w:numId w:val="53"/>
        </w:numPr>
        <w:jc w:val="both"/>
        <w:rPr>
          <w:rFonts w:asciiTheme="majorHAnsi" w:hAnsiTheme="majorHAnsi" w:cstheme="majorHAnsi"/>
        </w:rPr>
      </w:pPr>
      <w:r w:rsidRPr="00373D98">
        <w:rPr>
          <w:rFonts w:asciiTheme="majorHAnsi" w:hAnsiTheme="majorHAnsi" w:cstheme="majorHAnsi"/>
        </w:rPr>
        <w:t xml:space="preserve">calculate </w:t>
      </w:r>
      <w:proofErr w:type="gramStart"/>
      <w:r w:rsidRPr="00373D98">
        <w:rPr>
          <w:rFonts w:asciiTheme="majorHAnsi" w:hAnsiTheme="majorHAnsi" w:cstheme="majorHAnsi"/>
        </w:rPr>
        <w:t>all of</w:t>
      </w:r>
      <w:proofErr w:type="gramEnd"/>
      <w:r w:rsidRPr="00373D98">
        <w:rPr>
          <w:rFonts w:asciiTheme="majorHAnsi" w:hAnsiTheme="majorHAnsi" w:cstheme="majorHAnsi"/>
        </w:rPr>
        <w:t xml:space="preserve"> the costs that would be incurred by a typical participant seeking to create or obtain an asset providing equivalent utility,</w:t>
      </w:r>
    </w:p>
    <w:p w14:paraId="3F376DA5" w14:textId="493B11C3" w:rsidR="00891F11" w:rsidRPr="00373D98" w:rsidRDefault="00891F11" w:rsidP="00F660DD">
      <w:pPr>
        <w:pStyle w:val="ListParagraph"/>
        <w:numPr>
          <w:ilvl w:val="1"/>
          <w:numId w:val="53"/>
        </w:numPr>
        <w:jc w:val="both"/>
        <w:rPr>
          <w:rFonts w:asciiTheme="majorHAnsi" w:hAnsiTheme="majorHAnsi" w:cstheme="majorHAnsi"/>
        </w:rPr>
      </w:pPr>
      <w:r w:rsidRPr="00373D98">
        <w:rPr>
          <w:rFonts w:asciiTheme="majorHAnsi" w:hAnsiTheme="majorHAnsi" w:cstheme="majorHAnsi"/>
        </w:rPr>
        <w:t>determine whether there is any depreciation related to physical, functional and external obsolescence associated with the subject asset, and</w:t>
      </w:r>
    </w:p>
    <w:p w14:paraId="4C7615ED" w14:textId="63457A3A" w:rsidR="00891F11" w:rsidRPr="00373D98" w:rsidRDefault="00891F11" w:rsidP="00F660DD">
      <w:pPr>
        <w:pStyle w:val="ListParagraph"/>
        <w:numPr>
          <w:ilvl w:val="1"/>
          <w:numId w:val="53"/>
        </w:numPr>
        <w:jc w:val="both"/>
        <w:rPr>
          <w:rFonts w:asciiTheme="majorHAnsi" w:hAnsiTheme="majorHAnsi" w:cstheme="majorHAnsi"/>
        </w:rPr>
      </w:pPr>
      <w:r w:rsidRPr="00373D98">
        <w:rPr>
          <w:rFonts w:asciiTheme="majorHAnsi" w:hAnsiTheme="majorHAnsi" w:cstheme="majorHAnsi"/>
        </w:rPr>
        <w:t>deduct total depreciation from the total costs to arrive at a value for the subject asset.</w:t>
      </w:r>
    </w:p>
    <w:p w14:paraId="526E414E" w14:textId="7C232C24" w:rsidR="00EB59FB" w:rsidRPr="00373D98" w:rsidRDefault="00EB59FB" w:rsidP="00F660DD">
      <w:pPr>
        <w:jc w:val="both"/>
        <w:rPr>
          <w:rFonts w:asciiTheme="majorHAnsi" w:hAnsiTheme="majorHAnsi" w:cstheme="majorHAnsi"/>
        </w:rPr>
      </w:pPr>
      <w:r w:rsidRPr="00373D98">
        <w:rPr>
          <w:rFonts w:asciiTheme="majorHAnsi" w:hAnsiTheme="majorHAnsi" w:cstheme="majorHAnsi"/>
        </w:rPr>
        <w:t>Details on cost considerations and depreciation adjustments have been provided under Replacement cost method in Property valuation section.</w:t>
      </w:r>
    </w:p>
    <w:p w14:paraId="69340DC5" w14:textId="0018CC9D" w:rsidR="00891F11" w:rsidRPr="00373D98" w:rsidRDefault="00891F11" w:rsidP="00F660DD">
      <w:pPr>
        <w:jc w:val="both"/>
        <w:rPr>
          <w:rFonts w:asciiTheme="majorHAnsi" w:hAnsiTheme="majorHAnsi" w:cstheme="majorHAnsi"/>
        </w:rPr>
      </w:pPr>
      <w:r w:rsidRPr="00373D98">
        <w:rPr>
          <w:rFonts w:asciiTheme="majorHAnsi" w:hAnsiTheme="majorHAnsi" w:cstheme="majorHAnsi"/>
        </w:rPr>
        <w:t>The replacement cost is generally that of a modern equivalent asset, which is one that provides similar function and equivalent utility to the asset being valued, but which is of a current design and constructed or made using current cost-effective materials and techniques.</w:t>
      </w:r>
    </w:p>
    <w:p w14:paraId="0D013542" w14:textId="7666EE54" w:rsidR="00891F11" w:rsidRPr="00373D98" w:rsidRDefault="00891F11" w:rsidP="00F660DD">
      <w:pPr>
        <w:pStyle w:val="Heading4"/>
        <w:numPr>
          <w:ilvl w:val="3"/>
          <w:numId w:val="39"/>
        </w:numPr>
        <w:spacing w:after="240"/>
        <w:rPr>
          <w:rFonts w:cstheme="majorHAnsi"/>
        </w:rPr>
      </w:pPr>
      <w:bookmarkStart w:id="27" w:name="_Toc213491729"/>
      <w:r w:rsidRPr="00373D98">
        <w:rPr>
          <w:rFonts w:cstheme="majorHAnsi"/>
        </w:rPr>
        <w:t>Reproduction Cost Method</w:t>
      </w:r>
      <w:bookmarkEnd w:id="27"/>
    </w:p>
    <w:p w14:paraId="0264CDAB" w14:textId="0734142E" w:rsidR="00891F11" w:rsidRPr="00373D98" w:rsidRDefault="00891F11" w:rsidP="00F660DD">
      <w:pPr>
        <w:jc w:val="both"/>
        <w:rPr>
          <w:rFonts w:asciiTheme="majorHAnsi" w:hAnsiTheme="majorHAnsi" w:cstheme="majorHAnsi"/>
        </w:rPr>
      </w:pPr>
      <w:r w:rsidRPr="00373D98">
        <w:rPr>
          <w:rFonts w:asciiTheme="majorHAnsi" w:hAnsiTheme="majorHAnsi" w:cstheme="majorHAnsi"/>
        </w:rPr>
        <w:t>Reproduction cost is appropriate in circumstances such as the following:</w:t>
      </w:r>
    </w:p>
    <w:p w14:paraId="7032BE6F" w14:textId="516CBAA9" w:rsidR="00891F11" w:rsidRPr="00373D98" w:rsidRDefault="00891F11" w:rsidP="00F660DD">
      <w:pPr>
        <w:pStyle w:val="ListParagraph"/>
        <w:numPr>
          <w:ilvl w:val="1"/>
          <w:numId w:val="54"/>
        </w:numPr>
        <w:jc w:val="both"/>
        <w:rPr>
          <w:rFonts w:asciiTheme="majorHAnsi" w:hAnsiTheme="majorHAnsi" w:cstheme="majorHAnsi"/>
        </w:rPr>
      </w:pPr>
      <w:r w:rsidRPr="00373D98">
        <w:rPr>
          <w:rFonts w:asciiTheme="majorHAnsi" w:hAnsiTheme="majorHAnsi" w:cstheme="majorHAnsi"/>
        </w:rPr>
        <w:t>the cost of a modern equivalent asset is greater than the cost of recreating a replica of the subject asset, or</w:t>
      </w:r>
    </w:p>
    <w:p w14:paraId="65C093B2" w14:textId="565FA129" w:rsidR="00891F11" w:rsidRPr="00373D98" w:rsidRDefault="00891F11" w:rsidP="00F660DD">
      <w:pPr>
        <w:pStyle w:val="ListParagraph"/>
        <w:numPr>
          <w:ilvl w:val="1"/>
          <w:numId w:val="54"/>
        </w:numPr>
        <w:jc w:val="both"/>
        <w:rPr>
          <w:rFonts w:asciiTheme="majorHAnsi" w:hAnsiTheme="majorHAnsi" w:cstheme="majorHAnsi"/>
        </w:rPr>
      </w:pPr>
      <w:r w:rsidRPr="00373D98">
        <w:rPr>
          <w:rFonts w:asciiTheme="majorHAnsi" w:hAnsiTheme="majorHAnsi" w:cstheme="majorHAnsi"/>
        </w:rPr>
        <w:t>the utility offered by the subject asset could only be provided by a replica rather than a modern equivalent.</w:t>
      </w:r>
    </w:p>
    <w:p w14:paraId="27EF0FAC" w14:textId="182C81AE" w:rsidR="00891F11" w:rsidRPr="00373D98" w:rsidRDefault="00891F11" w:rsidP="00F660DD">
      <w:pPr>
        <w:jc w:val="both"/>
        <w:rPr>
          <w:rFonts w:asciiTheme="majorHAnsi" w:hAnsiTheme="majorHAnsi" w:cstheme="majorHAnsi"/>
        </w:rPr>
      </w:pPr>
      <w:r w:rsidRPr="00373D98">
        <w:rPr>
          <w:rFonts w:asciiTheme="majorHAnsi" w:hAnsiTheme="majorHAnsi" w:cstheme="majorHAnsi"/>
          <w:b/>
          <w:bCs/>
          <w:i/>
          <w:iCs/>
        </w:rPr>
        <w:t>The key steps in the reproduction cost method are</w:t>
      </w:r>
      <w:r w:rsidRPr="00373D98">
        <w:rPr>
          <w:rFonts w:asciiTheme="majorHAnsi" w:hAnsiTheme="majorHAnsi" w:cstheme="majorHAnsi"/>
        </w:rPr>
        <w:t>:</w:t>
      </w:r>
    </w:p>
    <w:p w14:paraId="19390491" w14:textId="60111722" w:rsidR="00891F11" w:rsidRPr="00373D98" w:rsidRDefault="00891F11" w:rsidP="00F660DD">
      <w:pPr>
        <w:pStyle w:val="ListParagraph"/>
        <w:numPr>
          <w:ilvl w:val="1"/>
          <w:numId w:val="55"/>
        </w:numPr>
        <w:jc w:val="both"/>
        <w:rPr>
          <w:rFonts w:asciiTheme="majorHAnsi" w:hAnsiTheme="majorHAnsi" w:cstheme="majorHAnsi"/>
        </w:rPr>
      </w:pPr>
      <w:r w:rsidRPr="00373D98">
        <w:rPr>
          <w:rFonts w:asciiTheme="majorHAnsi" w:hAnsiTheme="majorHAnsi" w:cstheme="majorHAnsi"/>
        </w:rPr>
        <w:t xml:space="preserve">calculate </w:t>
      </w:r>
      <w:proofErr w:type="gramStart"/>
      <w:r w:rsidRPr="00373D98">
        <w:rPr>
          <w:rFonts w:asciiTheme="majorHAnsi" w:hAnsiTheme="majorHAnsi" w:cstheme="majorHAnsi"/>
        </w:rPr>
        <w:t>all of</w:t>
      </w:r>
      <w:proofErr w:type="gramEnd"/>
      <w:r w:rsidRPr="00373D98">
        <w:rPr>
          <w:rFonts w:asciiTheme="majorHAnsi" w:hAnsiTheme="majorHAnsi" w:cstheme="majorHAnsi"/>
        </w:rPr>
        <w:t xml:space="preserve"> the costs that would be incurred by a typical participant seeking to create an exact replica of the subject asset,</w:t>
      </w:r>
    </w:p>
    <w:p w14:paraId="3B70E24D" w14:textId="4F005E5F" w:rsidR="00891F11" w:rsidRPr="00373D98" w:rsidRDefault="00891F11" w:rsidP="00F660DD">
      <w:pPr>
        <w:pStyle w:val="ListParagraph"/>
        <w:numPr>
          <w:ilvl w:val="1"/>
          <w:numId w:val="55"/>
        </w:numPr>
        <w:jc w:val="both"/>
        <w:rPr>
          <w:rFonts w:asciiTheme="majorHAnsi" w:hAnsiTheme="majorHAnsi" w:cstheme="majorHAnsi"/>
        </w:rPr>
      </w:pPr>
      <w:r w:rsidRPr="00373D98">
        <w:rPr>
          <w:rFonts w:asciiTheme="majorHAnsi" w:hAnsiTheme="majorHAnsi" w:cstheme="majorHAnsi"/>
        </w:rPr>
        <w:t>determine whether there is any depreciation related to physical, functional and external obsolescence associated with the subject asset, and</w:t>
      </w:r>
    </w:p>
    <w:p w14:paraId="0A8D6B9F" w14:textId="77BC0109" w:rsidR="00891F11" w:rsidRPr="00373D98" w:rsidRDefault="00891F11" w:rsidP="00F660DD">
      <w:pPr>
        <w:pStyle w:val="ListParagraph"/>
        <w:numPr>
          <w:ilvl w:val="1"/>
          <w:numId w:val="55"/>
        </w:numPr>
        <w:jc w:val="both"/>
        <w:rPr>
          <w:rFonts w:asciiTheme="majorHAnsi" w:hAnsiTheme="majorHAnsi" w:cstheme="majorHAnsi"/>
        </w:rPr>
      </w:pPr>
      <w:r w:rsidRPr="00373D98">
        <w:rPr>
          <w:rFonts w:asciiTheme="majorHAnsi" w:hAnsiTheme="majorHAnsi" w:cstheme="majorHAnsi"/>
        </w:rPr>
        <w:t>deduct total depreciation from the total costs to arrive at a value for the subject asset.</w:t>
      </w:r>
    </w:p>
    <w:p w14:paraId="2AF0ECFB" w14:textId="5054B4BD" w:rsidR="00CB764E" w:rsidRPr="00373D98" w:rsidRDefault="00CB764E" w:rsidP="00CB764E">
      <w:pPr>
        <w:jc w:val="both"/>
        <w:rPr>
          <w:rFonts w:asciiTheme="majorHAnsi" w:hAnsiTheme="majorHAnsi" w:cstheme="majorHAnsi"/>
        </w:rPr>
      </w:pPr>
      <w:r w:rsidRPr="00373D98">
        <w:rPr>
          <w:rFonts w:asciiTheme="majorHAnsi" w:hAnsiTheme="majorHAnsi" w:cstheme="majorHAnsi"/>
        </w:rPr>
        <w:t>Details on cost considerations and depreciation adjustments have been provided under Replacement cost method in Property valuation section.</w:t>
      </w:r>
    </w:p>
    <w:p w14:paraId="2564D231" w14:textId="2764EC73" w:rsidR="00DE5673" w:rsidRPr="00373D98" w:rsidRDefault="00DE5673" w:rsidP="00F660DD">
      <w:pPr>
        <w:pStyle w:val="Heading4"/>
        <w:numPr>
          <w:ilvl w:val="3"/>
          <w:numId w:val="39"/>
        </w:numPr>
        <w:spacing w:after="240"/>
        <w:rPr>
          <w:rFonts w:cstheme="majorHAnsi"/>
        </w:rPr>
      </w:pPr>
      <w:bookmarkStart w:id="28" w:name="_Toc213491730"/>
      <w:r w:rsidRPr="00373D98">
        <w:rPr>
          <w:rFonts w:cstheme="majorHAnsi"/>
        </w:rPr>
        <w:t>Cost-to-Capacity Method</w:t>
      </w:r>
      <w:bookmarkEnd w:id="28"/>
    </w:p>
    <w:p w14:paraId="27E06FCE" w14:textId="4051B7AA" w:rsidR="00DE5673" w:rsidRPr="00373D98" w:rsidRDefault="00DE5673" w:rsidP="00DE5673">
      <w:pPr>
        <w:jc w:val="both"/>
        <w:rPr>
          <w:rFonts w:asciiTheme="majorHAnsi" w:hAnsiTheme="majorHAnsi" w:cstheme="majorHAnsi"/>
        </w:rPr>
      </w:pPr>
      <w:r w:rsidRPr="00373D98">
        <w:rPr>
          <w:rFonts w:asciiTheme="majorHAnsi" w:hAnsiTheme="majorHAnsi" w:cstheme="majorHAnsi"/>
        </w:rPr>
        <w:t>Under the cost-to-capacity method, the replacement cost of an asset with an actual or required capacity can be determined by reference to the cost of a similar asset with a different capacity.</w:t>
      </w:r>
    </w:p>
    <w:p w14:paraId="682DE8AE" w14:textId="55115F06" w:rsidR="00DE5673" w:rsidRPr="00373D98" w:rsidRDefault="00DE5673" w:rsidP="00DE5673">
      <w:pPr>
        <w:jc w:val="both"/>
        <w:rPr>
          <w:rFonts w:asciiTheme="majorHAnsi" w:hAnsiTheme="majorHAnsi" w:cstheme="majorHAnsi"/>
        </w:rPr>
      </w:pPr>
      <w:r w:rsidRPr="00373D98">
        <w:rPr>
          <w:rFonts w:asciiTheme="majorHAnsi" w:hAnsiTheme="majorHAnsi" w:cstheme="majorHAnsi"/>
        </w:rPr>
        <w:t>The cost-to-capacity method is generally used in one of two ways:</w:t>
      </w:r>
    </w:p>
    <w:p w14:paraId="444459EA" w14:textId="48354859" w:rsidR="00DE5673" w:rsidRPr="00373D98" w:rsidRDefault="00DE5673" w:rsidP="00DE5673">
      <w:pPr>
        <w:pStyle w:val="ListParagraph"/>
        <w:numPr>
          <w:ilvl w:val="1"/>
          <w:numId w:val="52"/>
        </w:numPr>
        <w:jc w:val="both"/>
        <w:rPr>
          <w:rFonts w:asciiTheme="majorHAnsi" w:hAnsiTheme="majorHAnsi" w:cstheme="majorHAnsi"/>
        </w:rPr>
      </w:pPr>
      <w:r w:rsidRPr="00373D98">
        <w:rPr>
          <w:rFonts w:asciiTheme="majorHAnsi" w:hAnsiTheme="majorHAnsi" w:cstheme="majorHAnsi"/>
        </w:rPr>
        <w:t>to estimate the replacement cost for an asset or assets with one capacity where the replacement costs of an asset or assets with a different capacity are known (such as when the capacity of two subject assets could be replaced by a single asset with a known cost, or</w:t>
      </w:r>
    </w:p>
    <w:p w14:paraId="0D3A45C5" w14:textId="2FF3905A" w:rsidR="00DE5673" w:rsidRPr="00373D98" w:rsidRDefault="00DE5673" w:rsidP="00DE5673">
      <w:pPr>
        <w:pStyle w:val="ListParagraph"/>
        <w:numPr>
          <w:ilvl w:val="1"/>
          <w:numId w:val="52"/>
        </w:numPr>
        <w:jc w:val="both"/>
        <w:rPr>
          <w:rFonts w:asciiTheme="majorHAnsi" w:hAnsiTheme="majorHAnsi" w:cstheme="majorHAnsi"/>
        </w:rPr>
      </w:pPr>
      <w:r w:rsidRPr="00373D98">
        <w:rPr>
          <w:rFonts w:asciiTheme="majorHAnsi" w:hAnsiTheme="majorHAnsi" w:cstheme="majorHAnsi"/>
        </w:rPr>
        <w:lastRenderedPageBreak/>
        <w:t>to estimate the replacement cost for a modern equivalent asset with capacity that matches foreseeable demand where the subject asset has excess capacity (as a means of measuring the penalty for the lack of utility to be applied as part of an economic obsolescence adjustment).</w:t>
      </w:r>
    </w:p>
    <w:p w14:paraId="0F934F4A" w14:textId="5AFE43A6" w:rsidR="00DE5673" w:rsidRPr="00373D98" w:rsidRDefault="00DE5673" w:rsidP="00DE5673">
      <w:pPr>
        <w:jc w:val="both"/>
        <w:rPr>
          <w:rFonts w:asciiTheme="majorHAnsi" w:hAnsiTheme="majorHAnsi" w:cstheme="majorHAnsi"/>
        </w:rPr>
      </w:pPr>
      <w:r w:rsidRPr="00373D98">
        <w:rPr>
          <w:rFonts w:asciiTheme="majorHAnsi" w:hAnsiTheme="majorHAnsi" w:cstheme="majorHAnsi"/>
        </w:rPr>
        <w:t xml:space="preserve">This method could be used as a primary method for determining replacement cost on a top-down </w:t>
      </w:r>
      <w:proofErr w:type="gramStart"/>
      <w:r w:rsidRPr="00373D98">
        <w:rPr>
          <w:rFonts w:asciiTheme="majorHAnsi" w:hAnsiTheme="majorHAnsi" w:cstheme="majorHAnsi"/>
        </w:rPr>
        <w:t>basis, or</w:t>
      </w:r>
      <w:proofErr w:type="gramEnd"/>
      <w:r w:rsidRPr="00373D98">
        <w:rPr>
          <w:rFonts w:asciiTheme="majorHAnsi" w:hAnsiTheme="majorHAnsi" w:cstheme="majorHAnsi"/>
        </w:rPr>
        <w:t xml:space="preserve"> could be used as a check method to the replacement cost determined on a bottom-up basis. However, the existence of an exact comparison plant with the same designed capacity that resides within the same geographical area would always take preference over a cost-to-capacity method.</w:t>
      </w:r>
    </w:p>
    <w:p w14:paraId="26C5410E" w14:textId="1FECA2CA" w:rsidR="00DE5673" w:rsidRPr="00373D98" w:rsidRDefault="00DE5673" w:rsidP="00DE5673">
      <w:pPr>
        <w:jc w:val="both"/>
        <w:rPr>
          <w:rFonts w:asciiTheme="majorHAnsi" w:hAnsiTheme="majorHAnsi" w:cstheme="majorHAnsi"/>
        </w:rPr>
      </w:pPr>
      <w:r w:rsidRPr="00373D98">
        <w:rPr>
          <w:rFonts w:asciiTheme="majorHAnsi" w:hAnsiTheme="majorHAnsi" w:cstheme="majorHAnsi"/>
        </w:rPr>
        <w:t>It is noted that the relationship between cost and capacity is often not linear, so some form of exponential adjustment may also be required. However, the valuer should exercise caution in performing this adjustment when large differences in capacity are being used as evidence relative to the subject asset as this may not lead to credible outcomes.</w:t>
      </w:r>
    </w:p>
    <w:p w14:paraId="77EE13C5" w14:textId="679BA294" w:rsidR="00612F4A" w:rsidRPr="00373D98" w:rsidRDefault="00706A0C">
      <w:pPr>
        <w:rPr>
          <w:rFonts w:asciiTheme="majorHAnsi" w:hAnsiTheme="majorHAnsi" w:cstheme="majorHAnsi"/>
        </w:rPr>
      </w:pPr>
      <w:r w:rsidRPr="108D9D53">
        <w:br w:type="page"/>
      </w:r>
    </w:p>
    <w:p w14:paraId="3A7A27BE" w14:textId="451F3C23" w:rsidR="002F1680" w:rsidRPr="00373D98" w:rsidRDefault="00612F4A" w:rsidP="00F660DD">
      <w:pPr>
        <w:pStyle w:val="Heading1"/>
        <w:numPr>
          <w:ilvl w:val="0"/>
          <w:numId w:val="39"/>
        </w:numPr>
        <w:rPr>
          <w:rFonts w:cstheme="majorHAnsi"/>
        </w:rPr>
      </w:pPr>
      <w:bookmarkStart w:id="29" w:name="_Toc213491731"/>
      <w:r w:rsidRPr="00373D98">
        <w:rPr>
          <w:rFonts w:cstheme="majorHAnsi"/>
        </w:rPr>
        <w:lastRenderedPageBreak/>
        <w:t>Disclosures</w:t>
      </w:r>
      <w:bookmarkEnd w:id="29"/>
    </w:p>
    <w:p w14:paraId="7E9D3E93" w14:textId="77777777" w:rsidR="00612F4A" w:rsidRPr="00373D98" w:rsidRDefault="00612F4A" w:rsidP="00612F4A">
      <w:pPr>
        <w:jc w:val="both"/>
        <w:rPr>
          <w:rFonts w:asciiTheme="majorHAnsi" w:hAnsiTheme="majorHAnsi" w:cstheme="majorHAnsi"/>
          <w:b/>
          <w:bCs/>
          <w:color w:val="000000"/>
        </w:rPr>
      </w:pPr>
      <w:r w:rsidRPr="00373D98">
        <w:rPr>
          <w:rFonts w:asciiTheme="majorHAnsi" w:hAnsiTheme="majorHAnsi" w:cstheme="majorHAnsi"/>
          <w:color w:val="000000"/>
        </w:rPr>
        <w:t>IFRS 13 requires a number of disclosures designed to provide users of financial statements with additional transparency regarding:</w:t>
      </w:r>
    </w:p>
    <w:p w14:paraId="71768150" w14:textId="77777777" w:rsidR="00612F4A" w:rsidRPr="00373D98" w:rsidRDefault="00612F4A" w:rsidP="00612F4A">
      <w:pPr>
        <w:numPr>
          <w:ilvl w:val="0"/>
          <w:numId w:val="64"/>
        </w:numPr>
        <w:spacing w:after="160" w:line="278" w:lineRule="auto"/>
        <w:jc w:val="both"/>
        <w:rPr>
          <w:rFonts w:asciiTheme="majorHAnsi" w:hAnsiTheme="majorHAnsi" w:cstheme="majorHAnsi"/>
          <w:color w:val="000000"/>
        </w:rPr>
      </w:pPr>
      <w:r w:rsidRPr="00373D98">
        <w:rPr>
          <w:rFonts w:asciiTheme="majorHAnsi" w:hAnsiTheme="majorHAnsi" w:cstheme="majorHAnsi"/>
          <w:color w:val="000000"/>
        </w:rPr>
        <w:t>Extent to which fair value is used to measure assets and liabilities</w:t>
      </w:r>
    </w:p>
    <w:p w14:paraId="6A4BDA43" w14:textId="77777777" w:rsidR="00612F4A" w:rsidRPr="00AF25A0" w:rsidRDefault="00612F4A" w:rsidP="27016B3F">
      <w:pPr>
        <w:numPr>
          <w:ilvl w:val="0"/>
          <w:numId w:val="64"/>
        </w:numPr>
        <w:spacing w:after="160" w:line="278" w:lineRule="auto"/>
        <w:jc w:val="both"/>
        <w:rPr>
          <w:rFonts w:asciiTheme="majorHAnsi" w:hAnsiTheme="majorHAnsi" w:cstheme="majorBidi"/>
          <w:color w:val="000000"/>
        </w:rPr>
      </w:pPr>
      <w:r w:rsidRPr="00AF25A0">
        <w:rPr>
          <w:rFonts w:asciiTheme="majorHAnsi" w:hAnsiTheme="majorHAnsi" w:cstheme="majorBidi"/>
          <w:color w:val="000000" w:themeColor="text1"/>
        </w:rPr>
        <w:t>Valuation techniques, inputs and assumptions used in measuring fair value</w:t>
      </w:r>
    </w:p>
    <w:p w14:paraId="7B013472" w14:textId="77777777" w:rsidR="00612F4A" w:rsidRPr="00373D98" w:rsidRDefault="00612F4A" w:rsidP="00612F4A">
      <w:pPr>
        <w:numPr>
          <w:ilvl w:val="0"/>
          <w:numId w:val="64"/>
        </w:numPr>
        <w:spacing w:after="160" w:line="278" w:lineRule="auto"/>
        <w:jc w:val="both"/>
        <w:rPr>
          <w:rFonts w:asciiTheme="majorHAnsi" w:hAnsiTheme="majorHAnsi" w:cstheme="majorHAnsi"/>
          <w:color w:val="000000"/>
        </w:rPr>
      </w:pPr>
      <w:r w:rsidRPr="00373D98">
        <w:rPr>
          <w:rFonts w:asciiTheme="majorHAnsi" w:hAnsiTheme="majorHAnsi" w:cstheme="majorHAnsi"/>
          <w:color w:val="000000"/>
        </w:rPr>
        <w:t>Effect of Level 3 fair value measurements on profit or loss (or other comprehensive income)</w:t>
      </w:r>
    </w:p>
    <w:tbl>
      <w:tblPr>
        <w:tblW w:w="10201" w:type="dxa"/>
        <w:tblLook w:val="04A0" w:firstRow="1" w:lastRow="0" w:firstColumn="1" w:lastColumn="0" w:noHBand="0" w:noVBand="1"/>
      </w:tblPr>
      <w:tblGrid>
        <w:gridCol w:w="1291"/>
        <w:gridCol w:w="8910"/>
      </w:tblGrid>
      <w:tr w:rsidR="00476694" w:rsidRPr="00D24BF9" w14:paraId="25539147" w14:textId="77777777" w:rsidTr="58654A4A">
        <w:trPr>
          <w:trHeight w:val="290"/>
        </w:trPr>
        <w:tc>
          <w:tcPr>
            <w:tcW w:w="0" w:type="auto"/>
            <w:tcBorders>
              <w:top w:val="single" w:sz="4" w:space="0" w:color="auto"/>
              <w:left w:val="single" w:sz="4" w:space="0" w:color="auto"/>
              <w:bottom w:val="single" w:sz="4" w:space="0" w:color="auto"/>
              <w:right w:val="single" w:sz="4" w:space="0" w:color="auto"/>
            </w:tcBorders>
            <w:vAlign w:val="bottom"/>
            <w:hideMark/>
          </w:tcPr>
          <w:p w14:paraId="579CDBED" w14:textId="77777777" w:rsidR="00476694" w:rsidRPr="00A11090" w:rsidRDefault="00476694">
            <w:pPr>
              <w:rPr>
                <w:rFonts w:asciiTheme="majorHAnsi" w:eastAsia="Times New Roman" w:hAnsiTheme="majorHAnsi" w:cstheme="majorHAnsi"/>
                <w:b/>
                <w:bCs/>
                <w:color w:val="000000"/>
              </w:rPr>
            </w:pPr>
            <w:r w:rsidRPr="00A11090">
              <w:rPr>
                <w:rFonts w:asciiTheme="majorHAnsi" w:eastAsia="Times New Roman" w:hAnsiTheme="majorHAnsi" w:cstheme="majorHAnsi"/>
                <w:b/>
                <w:bCs/>
                <w:color w:val="000000"/>
                <w:spacing w:val="-1"/>
              </w:rPr>
              <w:t xml:space="preserve">Reference </w:t>
            </w:r>
          </w:p>
        </w:tc>
        <w:tc>
          <w:tcPr>
            <w:tcW w:w="8910" w:type="dxa"/>
            <w:tcBorders>
              <w:top w:val="single" w:sz="4" w:space="0" w:color="auto"/>
              <w:left w:val="nil"/>
              <w:bottom w:val="single" w:sz="4" w:space="0" w:color="auto"/>
              <w:right w:val="single" w:sz="4" w:space="0" w:color="auto"/>
            </w:tcBorders>
            <w:vAlign w:val="bottom"/>
            <w:hideMark/>
          </w:tcPr>
          <w:p w14:paraId="37ADE5BF" w14:textId="77777777" w:rsidR="00476694" w:rsidRPr="00A11090" w:rsidRDefault="00476694">
            <w:pPr>
              <w:rPr>
                <w:rFonts w:asciiTheme="majorHAnsi" w:eastAsia="Times New Roman" w:hAnsiTheme="majorHAnsi" w:cstheme="majorHAnsi"/>
                <w:b/>
                <w:bCs/>
                <w:color w:val="000000"/>
              </w:rPr>
            </w:pPr>
            <w:r w:rsidRPr="00A11090">
              <w:rPr>
                <w:rFonts w:asciiTheme="majorHAnsi" w:eastAsia="Times New Roman" w:hAnsiTheme="majorHAnsi" w:cstheme="majorHAnsi"/>
                <w:b/>
                <w:bCs/>
                <w:color w:val="000000"/>
                <w:spacing w:val="-1"/>
              </w:rPr>
              <w:t xml:space="preserve">Disclosures </w:t>
            </w:r>
          </w:p>
        </w:tc>
      </w:tr>
      <w:tr w:rsidR="00476694" w:rsidRPr="00D24BF9" w14:paraId="29568B37"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11F90FD0"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spacing w:val="-1"/>
              </w:rPr>
              <w:t xml:space="preserve">IFRS13 p91  </w:t>
            </w:r>
          </w:p>
        </w:tc>
        <w:tc>
          <w:tcPr>
            <w:tcW w:w="8910" w:type="dxa"/>
            <w:tcBorders>
              <w:top w:val="nil"/>
              <w:left w:val="nil"/>
              <w:bottom w:val="single" w:sz="4" w:space="0" w:color="auto"/>
              <w:right w:val="single" w:sz="4" w:space="0" w:color="auto"/>
            </w:tcBorders>
            <w:vAlign w:val="bottom"/>
            <w:hideMark/>
          </w:tcPr>
          <w:p w14:paraId="1AE048D3"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1. Disclose information that helps users of its financial statements assess both of the following:  </w:t>
            </w:r>
          </w:p>
        </w:tc>
      </w:tr>
      <w:tr w:rsidR="00476694" w:rsidRPr="00D24BF9" w14:paraId="5971D48D" w14:textId="77777777" w:rsidTr="58654A4A">
        <w:trPr>
          <w:trHeight w:val="870"/>
        </w:trPr>
        <w:tc>
          <w:tcPr>
            <w:tcW w:w="0" w:type="auto"/>
            <w:tcBorders>
              <w:top w:val="nil"/>
              <w:left w:val="single" w:sz="4" w:space="0" w:color="auto"/>
              <w:bottom w:val="single" w:sz="4" w:space="0" w:color="auto"/>
              <w:right w:val="single" w:sz="4" w:space="0" w:color="auto"/>
            </w:tcBorders>
            <w:vAlign w:val="bottom"/>
            <w:hideMark/>
          </w:tcPr>
          <w:p w14:paraId="7827782C"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w:t>
            </w:r>
          </w:p>
        </w:tc>
        <w:tc>
          <w:tcPr>
            <w:tcW w:w="8910" w:type="dxa"/>
            <w:tcBorders>
              <w:top w:val="nil"/>
              <w:left w:val="nil"/>
              <w:bottom w:val="single" w:sz="4" w:space="0" w:color="auto"/>
              <w:right w:val="single" w:sz="4" w:space="0" w:color="auto"/>
            </w:tcBorders>
            <w:vAlign w:val="bottom"/>
            <w:hideMark/>
          </w:tcPr>
          <w:p w14:paraId="1D3A1CDC"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(a)   for assets and liabilities that are measured at fair value on a recurring or non-recurring basis in the statement of financial position after initial recognition, the valuation techniques and inputs used to develop those measurements; and </w:t>
            </w:r>
          </w:p>
        </w:tc>
      </w:tr>
      <w:tr w:rsidR="00476694" w:rsidRPr="00D24BF9" w14:paraId="596C38F6" w14:textId="77777777" w:rsidTr="58654A4A">
        <w:trPr>
          <w:trHeight w:val="580"/>
        </w:trPr>
        <w:tc>
          <w:tcPr>
            <w:tcW w:w="0" w:type="auto"/>
            <w:tcBorders>
              <w:top w:val="nil"/>
              <w:left w:val="single" w:sz="4" w:space="0" w:color="auto"/>
              <w:bottom w:val="single" w:sz="4" w:space="0" w:color="auto"/>
              <w:right w:val="single" w:sz="4" w:space="0" w:color="auto"/>
            </w:tcBorders>
            <w:vAlign w:val="bottom"/>
            <w:hideMark/>
          </w:tcPr>
          <w:p w14:paraId="7EF3FAA3"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w:t>
            </w:r>
          </w:p>
        </w:tc>
        <w:tc>
          <w:tcPr>
            <w:tcW w:w="8910" w:type="dxa"/>
            <w:tcBorders>
              <w:top w:val="nil"/>
              <w:left w:val="nil"/>
              <w:bottom w:val="single" w:sz="4" w:space="0" w:color="auto"/>
              <w:right w:val="single" w:sz="4" w:space="0" w:color="auto"/>
            </w:tcBorders>
            <w:vAlign w:val="bottom"/>
            <w:hideMark/>
          </w:tcPr>
          <w:p w14:paraId="70E3421D"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(b)  for recurring fair value measurements using significant unobservable inputs (Level  3), the  effect  of the measurements on profit or loss or other comprehensive income for the period.  </w:t>
            </w:r>
          </w:p>
        </w:tc>
      </w:tr>
      <w:tr w:rsidR="00476694" w:rsidRPr="00D24BF9" w14:paraId="4370256E" w14:textId="77777777" w:rsidTr="58654A4A">
        <w:trPr>
          <w:trHeight w:val="290"/>
        </w:trPr>
        <w:tc>
          <w:tcPr>
            <w:tcW w:w="0" w:type="auto"/>
            <w:tcBorders>
              <w:top w:val="nil"/>
              <w:left w:val="single" w:sz="4" w:space="0" w:color="auto"/>
              <w:bottom w:val="single" w:sz="4" w:space="0" w:color="auto"/>
              <w:right w:val="single" w:sz="4" w:space="0" w:color="auto"/>
            </w:tcBorders>
            <w:hideMark/>
          </w:tcPr>
          <w:p w14:paraId="27D21AE6"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spacing w:val="-1"/>
              </w:rPr>
              <w:t xml:space="preserve">IFRS13 p92  (a) -(d)  </w:t>
            </w:r>
          </w:p>
        </w:tc>
        <w:tc>
          <w:tcPr>
            <w:tcW w:w="8910" w:type="dxa"/>
            <w:tcBorders>
              <w:top w:val="nil"/>
              <w:left w:val="nil"/>
              <w:bottom w:val="single" w:sz="4" w:space="0" w:color="auto"/>
              <w:right w:val="single" w:sz="4" w:space="0" w:color="auto"/>
            </w:tcBorders>
            <w:hideMark/>
          </w:tcPr>
          <w:p w14:paraId="425EA1C0"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To meet the objective in IFRS 13 para 91, consider all the following:</w:t>
            </w:r>
          </w:p>
        </w:tc>
      </w:tr>
      <w:tr w:rsidR="00476694" w:rsidRPr="00D24BF9" w14:paraId="6755BA79"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4058CF44" w14:textId="70D88C38"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2A144988"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(a)   the level of detail necessary to satisfy the disclosure requirements; </w:t>
            </w:r>
          </w:p>
        </w:tc>
      </w:tr>
      <w:tr w:rsidR="00476694" w:rsidRPr="00D24BF9" w14:paraId="43041538"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5EDFAC84" w14:textId="3E882E6A"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45EA27C2"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(b)   how much emphasis to place on each of the various requirements;  </w:t>
            </w:r>
          </w:p>
        </w:tc>
      </w:tr>
      <w:tr w:rsidR="00476694" w:rsidRPr="00D24BF9" w14:paraId="7EE33280"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0EAED3B9" w14:textId="09696BE8"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63FD1388"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(c)   how much aggregation or disaggregation to undertake; and </w:t>
            </w:r>
          </w:p>
        </w:tc>
      </w:tr>
      <w:tr w:rsidR="00476694" w:rsidRPr="00D24BF9" w14:paraId="3CFDFAC7" w14:textId="77777777" w:rsidTr="58654A4A">
        <w:trPr>
          <w:trHeight w:val="580"/>
        </w:trPr>
        <w:tc>
          <w:tcPr>
            <w:tcW w:w="0" w:type="auto"/>
            <w:tcBorders>
              <w:top w:val="nil"/>
              <w:left w:val="single" w:sz="4" w:space="0" w:color="auto"/>
              <w:bottom w:val="single" w:sz="4" w:space="0" w:color="auto"/>
              <w:right w:val="single" w:sz="4" w:space="0" w:color="auto"/>
            </w:tcBorders>
            <w:vAlign w:val="bottom"/>
            <w:hideMark/>
          </w:tcPr>
          <w:p w14:paraId="6D15607E" w14:textId="2C5D5D21"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6823B5AF"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(d)   whether users of financial statements need additional information to evaluate the quantitative information disclosed. </w:t>
            </w:r>
          </w:p>
        </w:tc>
      </w:tr>
      <w:tr w:rsidR="00476694" w:rsidRPr="00D24BF9" w14:paraId="7913998F" w14:textId="77777777" w:rsidTr="58654A4A">
        <w:trPr>
          <w:trHeight w:hRule="exact" w:val="580"/>
        </w:trPr>
        <w:tc>
          <w:tcPr>
            <w:tcW w:w="0" w:type="auto"/>
            <w:tcBorders>
              <w:top w:val="nil"/>
              <w:left w:val="single" w:sz="4" w:space="0" w:color="auto"/>
              <w:bottom w:val="single" w:sz="4" w:space="0" w:color="auto"/>
              <w:right w:val="single" w:sz="4" w:space="0" w:color="auto"/>
            </w:tcBorders>
            <w:vAlign w:val="bottom"/>
            <w:hideMark/>
          </w:tcPr>
          <w:p w14:paraId="768A75F6" w14:textId="14CA7729"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38DC5E1F"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2.  If the disclosures provided in accordance with this IFRS and other IFRSs are insufficient to meet the objectives in IFRS 13 para 91, disclose additional information necessary to meet those objectives.  </w:t>
            </w:r>
          </w:p>
        </w:tc>
      </w:tr>
      <w:tr w:rsidR="00476694" w:rsidRPr="00D24BF9" w14:paraId="5D1185F5" w14:textId="77777777" w:rsidTr="58654A4A">
        <w:trPr>
          <w:trHeight w:val="1160"/>
        </w:trPr>
        <w:tc>
          <w:tcPr>
            <w:tcW w:w="0" w:type="auto"/>
            <w:tcBorders>
              <w:top w:val="nil"/>
              <w:left w:val="single" w:sz="4" w:space="0" w:color="auto"/>
              <w:bottom w:val="single" w:sz="4" w:space="0" w:color="auto"/>
              <w:right w:val="single" w:sz="4" w:space="0" w:color="auto"/>
            </w:tcBorders>
            <w:hideMark/>
          </w:tcPr>
          <w:p w14:paraId="7FF6FC08"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spacing w:val="-1"/>
              </w:rPr>
              <w:t xml:space="preserve">IFRS13 p 93(a)- (i)  </w:t>
            </w:r>
          </w:p>
        </w:tc>
        <w:tc>
          <w:tcPr>
            <w:tcW w:w="8910" w:type="dxa"/>
            <w:tcBorders>
              <w:top w:val="nil"/>
              <w:left w:val="nil"/>
              <w:bottom w:val="single" w:sz="4" w:space="0" w:color="auto"/>
              <w:right w:val="single" w:sz="4" w:space="0" w:color="auto"/>
            </w:tcBorders>
            <w:hideMark/>
          </w:tcPr>
          <w:p w14:paraId="412FAD20"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3.  To meet the objectives in IFRS 13 para 91, disclose, at a minimum, the following information for each class of asset (see IFRS 13 para 94 for information on determining appropriate classes of assets and liabilities) measured at fair value (including measurements based on fair value within the scope of this IFRS) in the statement of financial position after initial recognition:  </w:t>
            </w:r>
          </w:p>
        </w:tc>
      </w:tr>
      <w:tr w:rsidR="00476694" w:rsidRPr="00D24BF9" w14:paraId="6C360033" w14:textId="77777777" w:rsidTr="58654A4A">
        <w:trPr>
          <w:trHeight w:val="870"/>
        </w:trPr>
        <w:tc>
          <w:tcPr>
            <w:tcW w:w="0" w:type="auto"/>
            <w:tcBorders>
              <w:top w:val="nil"/>
              <w:left w:val="single" w:sz="4" w:space="0" w:color="auto"/>
              <w:bottom w:val="single" w:sz="4" w:space="0" w:color="auto"/>
              <w:right w:val="single" w:sz="4" w:space="0" w:color="auto"/>
            </w:tcBorders>
            <w:vAlign w:val="bottom"/>
            <w:hideMark/>
          </w:tcPr>
          <w:p w14:paraId="044CDFF9" w14:textId="364A0DE7"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14391060"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a)     for recurring and non-recurring fair value measurements, the fair value measurement at the end of the reporting period, and for non-recurring fair value measurements, the reasons for the measurement;  </w:t>
            </w:r>
          </w:p>
        </w:tc>
      </w:tr>
      <w:tr w:rsidR="00476694" w:rsidRPr="00D24BF9" w14:paraId="153A0143" w14:textId="77777777" w:rsidTr="58654A4A">
        <w:trPr>
          <w:trHeight w:val="580"/>
        </w:trPr>
        <w:tc>
          <w:tcPr>
            <w:tcW w:w="0" w:type="auto"/>
            <w:tcBorders>
              <w:top w:val="nil"/>
              <w:left w:val="single" w:sz="4" w:space="0" w:color="auto"/>
              <w:bottom w:val="single" w:sz="4" w:space="0" w:color="auto"/>
              <w:right w:val="single" w:sz="4" w:space="0" w:color="auto"/>
            </w:tcBorders>
            <w:vAlign w:val="bottom"/>
            <w:hideMark/>
          </w:tcPr>
          <w:p w14:paraId="6EB28FBF" w14:textId="52041EA0"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53418FE4"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b)     for recurring and non-recurring fair value measurements, the  level of the fair value hierarchy within which the fair value measurements are </w:t>
            </w:r>
            <w:proofErr w:type="spellStart"/>
            <w:r w:rsidRPr="00A11090">
              <w:rPr>
                <w:rFonts w:asciiTheme="majorHAnsi" w:eastAsia="Times New Roman" w:hAnsiTheme="majorHAnsi" w:cstheme="majorHAnsi"/>
                <w:color w:val="000000"/>
              </w:rPr>
              <w:t>categorised</w:t>
            </w:r>
            <w:proofErr w:type="spellEnd"/>
            <w:r w:rsidRPr="00A11090">
              <w:rPr>
                <w:rFonts w:asciiTheme="majorHAnsi" w:eastAsia="Times New Roman" w:hAnsiTheme="majorHAnsi" w:cstheme="majorHAnsi"/>
                <w:color w:val="000000"/>
              </w:rPr>
              <w:t xml:space="preserve"> in their entirety (Level 1, 2 or 3);  </w:t>
            </w:r>
          </w:p>
        </w:tc>
      </w:tr>
      <w:tr w:rsidR="00476694" w:rsidRPr="00D24BF9" w14:paraId="55E5C3F8"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6D4F1C3D" w14:textId="0317B373"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0EFB3325"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c)     for assets and liabilities held at the end of the reporting </w:t>
            </w:r>
          </w:p>
        </w:tc>
      </w:tr>
      <w:tr w:rsidR="00476694" w:rsidRPr="00D24BF9" w14:paraId="553A8BEB" w14:textId="77777777" w:rsidTr="58654A4A">
        <w:trPr>
          <w:trHeight w:val="1740"/>
        </w:trPr>
        <w:tc>
          <w:tcPr>
            <w:tcW w:w="0" w:type="auto"/>
            <w:tcBorders>
              <w:top w:val="nil"/>
              <w:left w:val="single" w:sz="4" w:space="0" w:color="auto"/>
              <w:bottom w:val="single" w:sz="4" w:space="0" w:color="auto"/>
              <w:right w:val="single" w:sz="4" w:space="0" w:color="auto"/>
            </w:tcBorders>
            <w:vAlign w:val="bottom"/>
            <w:hideMark/>
          </w:tcPr>
          <w:p w14:paraId="6A9BDD67" w14:textId="3F4BF5A7"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7889B03A"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(d)  for recurring and non-recurring fair value measurements </w:t>
            </w:r>
            <w:proofErr w:type="spellStart"/>
            <w:r w:rsidRPr="00A11090">
              <w:rPr>
                <w:rFonts w:asciiTheme="majorHAnsi" w:eastAsia="Times New Roman" w:hAnsiTheme="majorHAnsi" w:cstheme="majorHAnsi"/>
                <w:color w:val="000000"/>
              </w:rPr>
              <w:t>categorised</w:t>
            </w:r>
            <w:proofErr w:type="spellEnd"/>
            <w:r w:rsidRPr="00A11090">
              <w:rPr>
                <w:rFonts w:asciiTheme="majorHAnsi" w:eastAsia="Times New Roman" w:hAnsiTheme="majorHAnsi" w:cstheme="majorHAnsi"/>
                <w:color w:val="000000"/>
              </w:rPr>
              <w:t xml:space="preserve"> within Level 2 and Level 3 of the fair value hierarchy, a description of the valuation technique(s) and inputs used in the fair value measurement. If there has been a change in valuation technique, disclose that change and the reason(s) for making it. For fair value measurements </w:t>
            </w:r>
            <w:proofErr w:type="spellStart"/>
            <w:r w:rsidRPr="00A11090">
              <w:rPr>
                <w:rFonts w:asciiTheme="majorHAnsi" w:eastAsia="Times New Roman" w:hAnsiTheme="majorHAnsi" w:cstheme="majorHAnsi"/>
                <w:color w:val="000000"/>
              </w:rPr>
              <w:t>categorised</w:t>
            </w:r>
            <w:proofErr w:type="spellEnd"/>
            <w:r w:rsidRPr="00A11090">
              <w:rPr>
                <w:rFonts w:asciiTheme="majorHAnsi" w:eastAsia="Times New Roman" w:hAnsiTheme="majorHAnsi" w:cstheme="majorHAnsi"/>
                <w:color w:val="000000"/>
              </w:rPr>
              <w:t xml:space="preserve"> within Level 3 of the fair value hierarchy, provide   quantitative information about the significant unobservable inputs used in the fair value measurement;  </w:t>
            </w:r>
          </w:p>
        </w:tc>
      </w:tr>
      <w:tr w:rsidR="00476694" w:rsidRPr="00D24BF9" w14:paraId="339A9BF6" w14:textId="77777777" w:rsidTr="58654A4A">
        <w:trPr>
          <w:trHeight w:val="1250"/>
        </w:trPr>
        <w:tc>
          <w:tcPr>
            <w:tcW w:w="0" w:type="auto"/>
            <w:tcBorders>
              <w:top w:val="nil"/>
              <w:left w:val="single" w:sz="4" w:space="0" w:color="auto"/>
              <w:bottom w:val="single" w:sz="4" w:space="0" w:color="auto"/>
              <w:right w:val="single" w:sz="4" w:space="0" w:color="auto"/>
            </w:tcBorders>
            <w:hideMark/>
          </w:tcPr>
          <w:p w14:paraId="4216911C" w14:textId="601BEE52"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hideMark/>
          </w:tcPr>
          <w:p w14:paraId="76C9B7BC"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An entity is not required to create quantitative information to comply with this disclosure requirement if quantitative unobservable inputs are not developed by the entity when measuring   fair   value. However, when providing this disclosure, an entity cannot ignore quantitative unobservable inputs that are significant to the fair value measurement and are reasonably available to the entity.  </w:t>
            </w:r>
          </w:p>
        </w:tc>
      </w:tr>
      <w:tr w:rsidR="00476694" w:rsidRPr="00D24BF9" w14:paraId="2BECABC4" w14:textId="77777777" w:rsidTr="58654A4A">
        <w:trPr>
          <w:trHeight w:val="870"/>
        </w:trPr>
        <w:tc>
          <w:tcPr>
            <w:tcW w:w="0" w:type="auto"/>
            <w:tcBorders>
              <w:top w:val="nil"/>
              <w:left w:val="single" w:sz="4" w:space="0" w:color="auto"/>
              <w:bottom w:val="single" w:sz="4" w:space="0" w:color="auto"/>
              <w:right w:val="single" w:sz="4" w:space="0" w:color="auto"/>
            </w:tcBorders>
            <w:vAlign w:val="bottom"/>
            <w:hideMark/>
          </w:tcPr>
          <w:p w14:paraId="4D5DFF2A" w14:textId="2A92AACA"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2A12BD16"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(e) for recurring fair value measurements </w:t>
            </w:r>
            <w:proofErr w:type="spellStart"/>
            <w:r w:rsidRPr="00A11090">
              <w:rPr>
                <w:rFonts w:asciiTheme="majorHAnsi" w:eastAsia="Times New Roman" w:hAnsiTheme="majorHAnsi" w:cstheme="majorHAnsi"/>
                <w:color w:val="000000"/>
              </w:rPr>
              <w:t>categorised</w:t>
            </w:r>
            <w:proofErr w:type="spellEnd"/>
            <w:r w:rsidRPr="00A11090">
              <w:rPr>
                <w:rFonts w:asciiTheme="majorHAnsi" w:eastAsia="Times New Roman" w:hAnsiTheme="majorHAnsi" w:cstheme="majorHAnsi"/>
                <w:color w:val="000000"/>
              </w:rPr>
              <w:t xml:space="preserve"> within Level 3 of the fair value hierarchy, a reconciliation from the opening to the closing balances, disclosing separately changes during the period attributable to the following:  </w:t>
            </w:r>
          </w:p>
        </w:tc>
      </w:tr>
      <w:tr w:rsidR="00476694" w:rsidRPr="00D24BF9" w14:paraId="21700EDE" w14:textId="77777777" w:rsidTr="58654A4A">
        <w:trPr>
          <w:trHeight w:val="580"/>
        </w:trPr>
        <w:tc>
          <w:tcPr>
            <w:tcW w:w="0" w:type="auto"/>
            <w:tcBorders>
              <w:top w:val="nil"/>
              <w:left w:val="single" w:sz="4" w:space="0" w:color="auto"/>
              <w:bottom w:val="single" w:sz="4" w:space="0" w:color="auto"/>
              <w:right w:val="single" w:sz="4" w:space="0" w:color="auto"/>
            </w:tcBorders>
            <w:vAlign w:val="bottom"/>
            <w:hideMark/>
          </w:tcPr>
          <w:p w14:paraId="31864F94" w14:textId="57AEC98B"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08A79E49"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I. total gains or losses for the period </w:t>
            </w:r>
            <w:proofErr w:type="spellStart"/>
            <w:r w:rsidRPr="00A11090">
              <w:rPr>
                <w:rFonts w:asciiTheme="majorHAnsi" w:eastAsia="Times New Roman" w:hAnsiTheme="majorHAnsi" w:cstheme="majorHAnsi"/>
                <w:color w:val="000000"/>
              </w:rPr>
              <w:t>recognised</w:t>
            </w:r>
            <w:proofErr w:type="spellEnd"/>
            <w:r w:rsidRPr="00A11090">
              <w:rPr>
                <w:rFonts w:asciiTheme="majorHAnsi" w:eastAsia="Times New Roman" w:hAnsiTheme="majorHAnsi" w:cstheme="majorHAnsi"/>
                <w:color w:val="000000"/>
              </w:rPr>
              <w:t xml:space="preserve"> in profit or loss, and the line item(s) in profit or loss in which those gains or losses are </w:t>
            </w:r>
            <w:proofErr w:type="spellStart"/>
            <w:r w:rsidRPr="00A11090">
              <w:rPr>
                <w:rFonts w:asciiTheme="majorHAnsi" w:eastAsia="Times New Roman" w:hAnsiTheme="majorHAnsi" w:cstheme="majorHAnsi"/>
                <w:color w:val="000000"/>
              </w:rPr>
              <w:t>recognised</w:t>
            </w:r>
            <w:proofErr w:type="spellEnd"/>
            <w:r w:rsidRPr="00A11090">
              <w:rPr>
                <w:rFonts w:asciiTheme="majorHAnsi" w:eastAsia="Times New Roman" w:hAnsiTheme="majorHAnsi" w:cstheme="majorHAnsi"/>
                <w:color w:val="000000"/>
              </w:rPr>
              <w:t>;</w:t>
            </w:r>
          </w:p>
        </w:tc>
      </w:tr>
      <w:tr w:rsidR="00476694" w:rsidRPr="00D24BF9" w14:paraId="0CBA02C4" w14:textId="77777777" w:rsidTr="58654A4A">
        <w:trPr>
          <w:trHeight w:val="580"/>
        </w:trPr>
        <w:tc>
          <w:tcPr>
            <w:tcW w:w="0" w:type="auto"/>
            <w:tcBorders>
              <w:top w:val="nil"/>
              <w:left w:val="single" w:sz="4" w:space="0" w:color="auto"/>
              <w:bottom w:val="single" w:sz="4" w:space="0" w:color="auto"/>
              <w:right w:val="single" w:sz="4" w:space="0" w:color="auto"/>
            </w:tcBorders>
            <w:vAlign w:val="bottom"/>
            <w:hideMark/>
          </w:tcPr>
          <w:p w14:paraId="62F724E7" w14:textId="6776C23E"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3E4F8BFB"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 II. total gains or losses for the period </w:t>
            </w:r>
            <w:proofErr w:type="spellStart"/>
            <w:r w:rsidRPr="00A11090">
              <w:rPr>
                <w:rFonts w:asciiTheme="majorHAnsi" w:eastAsia="Times New Roman" w:hAnsiTheme="majorHAnsi" w:cstheme="majorHAnsi"/>
                <w:color w:val="000000"/>
              </w:rPr>
              <w:t>recognised</w:t>
            </w:r>
            <w:proofErr w:type="spellEnd"/>
            <w:r w:rsidRPr="00A11090">
              <w:rPr>
                <w:rFonts w:asciiTheme="majorHAnsi" w:eastAsia="Times New Roman" w:hAnsiTheme="majorHAnsi" w:cstheme="majorHAnsi"/>
                <w:color w:val="000000"/>
              </w:rPr>
              <w:t xml:space="preserve"> in other comprehensive income, and the line item(s) in other comprehensive income in which those gains or losses are </w:t>
            </w:r>
            <w:proofErr w:type="spellStart"/>
            <w:r w:rsidRPr="00A11090">
              <w:rPr>
                <w:rFonts w:asciiTheme="majorHAnsi" w:eastAsia="Times New Roman" w:hAnsiTheme="majorHAnsi" w:cstheme="majorHAnsi"/>
                <w:color w:val="000000"/>
              </w:rPr>
              <w:t>recognised</w:t>
            </w:r>
            <w:proofErr w:type="spellEnd"/>
            <w:r w:rsidRPr="00A11090">
              <w:rPr>
                <w:rFonts w:asciiTheme="majorHAnsi" w:eastAsia="Times New Roman" w:hAnsiTheme="majorHAnsi" w:cstheme="majorHAnsi"/>
                <w:color w:val="000000"/>
              </w:rPr>
              <w:t>;</w:t>
            </w:r>
          </w:p>
        </w:tc>
      </w:tr>
      <w:tr w:rsidR="00476694" w:rsidRPr="00D24BF9" w14:paraId="1DA2FC31"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5708BFDD" w14:textId="5206C22D"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05B57700" w14:textId="77777777" w:rsidR="00476694" w:rsidRPr="00A11090" w:rsidRDefault="00476694">
            <w:pPr>
              <w:rPr>
                <w:rFonts w:asciiTheme="majorHAnsi" w:eastAsia="Times New Roman" w:hAnsiTheme="majorHAnsi" w:cstheme="majorHAnsi"/>
                <w:color w:val="000000"/>
              </w:rPr>
            </w:pPr>
            <w:proofErr w:type="spellStart"/>
            <w:r w:rsidRPr="00A11090">
              <w:rPr>
                <w:rFonts w:asciiTheme="majorHAnsi" w:eastAsia="Times New Roman" w:hAnsiTheme="majorHAnsi" w:cstheme="majorHAnsi"/>
                <w:color w:val="000000"/>
              </w:rPr>
              <w:t>III.purchases</w:t>
            </w:r>
            <w:proofErr w:type="spellEnd"/>
            <w:r w:rsidRPr="00A11090">
              <w:rPr>
                <w:rFonts w:asciiTheme="majorHAnsi" w:eastAsia="Times New Roman" w:hAnsiTheme="majorHAnsi" w:cstheme="majorHAnsi"/>
                <w:color w:val="000000"/>
              </w:rPr>
              <w:t>, sales, issues and settlements (each of those types of changes disclosed separately);</w:t>
            </w:r>
          </w:p>
        </w:tc>
      </w:tr>
      <w:tr w:rsidR="00476694" w:rsidRPr="00D24BF9" w14:paraId="56C68917" w14:textId="77777777" w:rsidTr="58654A4A">
        <w:trPr>
          <w:trHeight w:val="1160"/>
        </w:trPr>
        <w:tc>
          <w:tcPr>
            <w:tcW w:w="0" w:type="auto"/>
            <w:tcBorders>
              <w:top w:val="nil"/>
              <w:left w:val="single" w:sz="4" w:space="0" w:color="auto"/>
              <w:bottom w:val="single" w:sz="4" w:space="0" w:color="auto"/>
              <w:right w:val="single" w:sz="4" w:space="0" w:color="auto"/>
            </w:tcBorders>
            <w:vAlign w:val="bottom"/>
            <w:hideMark/>
          </w:tcPr>
          <w:p w14:paraId="10B19854" w14:textId="685429A3"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082D8EA8"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Iv. and the amounts of any transfers into or out of Level 3 of the fair value hierarchy, the reasons for those transfers and the entity’s policy for determining when transfers between levels are deemed to have occurred (see IFRS 13 para 95). Transfers into Level 3 are disclosed and discussed separately from transfers out of Level 3;</w:t>
            </w:r>
          </w:p>
        </w:tc>
      </w:tr>
      <w:tr w:rsidR="00476694" w:rsidRPr="00D24BF9" w14:paraId="0BB6CE6E" w14:textId="77777777" w:rsidTr="58654A4A">
        <w:trPr>
          <w:trHeight w:val="1450"/>
        </w:trPr>
        <w:tc>
          <w:tcPr>
            <w:tcW w:w="0" w:type="auto"/>
            <w:tcBorders>
              <w:top w:val="nil"/>
              <w:left w:val="single" w:sz="4" w:space="0" w:color="auto"/>
              <w:bottom w:val="single" w:sz="4" w:space="0" w:color="auto"/>
              <w:right w:val="single" w:sz="4" w:space="0" w:color="auto"/>
            </w:tcBorders>
            <w:vAlign w:val="bottom"/>
            <w:hideMark/>
          </w:tcPr>
          <w:p w14:paraId="19860AD4" w14:textId="7FCE44A0"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465A27D4"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(f)   for  recurring  fair  value  measurements categorized within Level 3 of the fair value hierarchy, the amount of the total gains or losses for the period in (e)(i) included in profit or loss that is attributable to the change in </w:t>
            </w:r>
            <w:proofErr w:type="spellStart"/>
            <w:r w:rsidRPr="00A11090">
              <w:rPr>
                <w:rFonts w:asciiTheme="majorHAnsi" w:eastAsia="Times New Roman" w:hAnsiTheme="majorHAnsi" w:cstheme="majorHAnsi"/>
                <w:color w:val="000000"/>
              </w:rPr>
              <w:t>unrealised</w:t>
            </w:r>
            <w:proofErr w:type="spellEnd"/>
            <w:r w:rsidRPr="00A11090">
              <w:rPr>
                <w:rFonts w:asciiTheme="majorHAnsi" w:eastAsia="Times New Roman" w:hAnsiTheme="majorHAnsi" w:cstheme="majorHAnsi"/>
                <w:color w:val="000000"/>
              </w:rPr>
              <w:t xml:space="preserve"> gains or losses relating to those assets and liabilities held at the end of the reporting period, and the line item(s) in profit or loss in which those </w:t>
            </w:r>
            <w:proofErr w:type="spellStart"/>
            <w:r w:rsidRPr="00A11090">
              <w:rPr>
                <w:rFonts w:asciiTheme="majorHAnsi" w:eastAsia="Times New Roman" w:hAnsiTheme="majorHAnsi" w:cstheme="majorHAnsi"/>
                <w:color w:val="000000"/>
              </w:rPr>
              <w:t>unrealised</w:t>
            </w:r>
            <w:proofErr w:type="spellEnd"/>
            <w:r w:rsidRPr="00A11090">
              <w:rPr>
                <w:rFonts w:asciiTheme="majorHAnsi" w:eastAsia="Times New Roman" w:hAnsiTheme="majorHAnsi" w:cstheme="majorHAnsi"/>
                <w:color w:val="000000"/>
              </w:rPr>
              <w:t xml:space="preserve"> gains or losses are </w:t>
            </w:r>
            <w:proofErr w:type="spellStart"/>
            <w:r w:rsidRPr="00A11090">
              <w:rPr>
                <w:rFonts w:asciiTheme="majorHAnsi" w:eastAsia="Times New Roman" w:hAnsiTheme="majorHAnsi" w:cstheme="majorHAnsi"/>
                <w:color w:val="000000"/>
              </w:rPr>
              <w:t>recognised</w:t>
            </w:r>
            <w:proofErr w:type="spellEnd"/>
            <w:r w:rsidRPr="00A11090">
              <w:rPr>
                <w:rFonts w:asciiTheme="majorHAnsi" w:eastAsia="Times New Roman" w:hAnsiTheme="majorHAnsi" w:cstheme="majorHAnsi"/>
                <w:color w:val="000000"/>
              </w:rPr>
              <w:t xml:space="preserve">;  </w:t>
            </w:r>
          </w:p>
        </w:tc>
      </w:tr>
      <w:tr w:rsidR="00476694" w:rsidRPr="00D24BF9" w14:paraId="4B226165" w14:textId="77777777" w:rsidTr="58654A4A">
        <w:trPr>
          <w:trHeight w:val="1160"/>
        </w:trPr>
        <w:tc>
          <w:tcPr>
            <w:tcW w:w="0" w:type="auto"/>
            <w:tcBorders>
              <w:top w:val="nil"/>
              <w:left w:val="single" w:sz="4" w:space="0" w:color="auto"/>
              <w:bottom w:val="single" w:sz="4" w:space="0" w:color="auto"/>
              <w:right w:val="single" w:sz="4" w:space="0" w:color="auto"/>
            </w:tcBorders>
            <w:vAlign w:val="bottom"/>
            <w:hideMark/>
          </w:tcPr>
          <w:p w14:paraId="7F1A0057" w14:textId="272BBC57"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238BF428"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(g)  for recurring and non-recurring fair value measurements </w:t>
            </w:r>
            <w:proofErr w:type="spellStart"/>
            <w:r w:rsidRPr="00A11090">
              <w:rPr>
                <w:rFonts w:asciiTheme="majorHAnsi" w:eastAsia="Times New Roman" w:hAnsiTheme="majorHAnsi" w:cstheme="majorHAnsi"/>
                <w:color w:val="000000"/>
              </w:rPr>
              <w:t>categorised</w:t>
            </w:r>
            <w:proofErr w:type="spellEnd"/>
            <w:r w:rsidRPr="00A11090">
              <w:rPr>
                <w:rFonts w:asciiTheme="majorHAnsi" w:eastAsia="Times New Roman" w:hAnsiTheme="majorHAnsi" w:cstheme="majorHAnsi"/>
                <w:color w:val="000000"/>
              </w:rPr>
              <w:t xml:space="preserve"> within Level 3 of the fair value hierarchy, a description of the valuation processes used by the entity. If income approach is used, frequency and methods of calibration, back testing and other testing procedures of pricing models. [IFRS IE65(b)];  </w:t>
            </w:r>
          </w:p>
        </w:tc>
      </w:tr>
      <w:tr w:rsidR="00476694" w:rsidRPr="00D24BF9" w14:paraId="12001877"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00FF48BF"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w:t>
            </w:r>
          </w:p>
        </w:tc>
        <w:tc>
          <w:tcPr>
            <w:tcW w:w="8910" w:type="dxa"/>
            <w:tcBorders>
              <w:top w:val="nil"/>
              <w:left w:val="nil"/>
              <w:bottom w:val="single" w:sz="4" w:space="0" w:color="auto"/>
              <w:right w:val="single" w:sz="4" w:space="0" w:color="auto"/>
            </w:tcBorders>
            <w:vAlign w:val="bottom"/>
            <w:hideMark/>
          </w:tcPr>
          <w:p w14:paraId="5C966DD3"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(h) for recurring fair value  measurements  </w:t>
            </w:r>
            <w:proofErr w:type="spellStart"/>
            <w:r w:rsidRPr="00A11090">
              <w:rPr>
                <w:rFonts w:asciiTheme="majorHAnsi" w:eastAsia="Times New Roman" w:hAnsiTheme="majorHAnsi" w:cstheme="majorHAnsi"/>
                <w:color w:val="000000"/>
              </w:rPr>
              <w:t>categorised</w:t>
            </w:r>
            <w:proofErr w:type="spellEnd"/>
            <w:r w:rsidRPr="00A11090">
              <w:rPr>
                <w:rFonts w:asciiTheme="majorHAnsi" w:eastAsia="Times New Roman" w:hAnsiTheme="majorHAnsi" w:cstheme="majorHAnsi"/>
                <w:color w:val="000000"/>
              </w:rPr>
              <w:t xml:space="preserve">  within Level 3 of the fair value hierarchy: </w:t>
            </w:r>
          </w:p>
        </w:tc>
      </w:tr>
      <w:tr w:rsidR="00476694" w:rsidRPr="00D24BF9" w14:paraId="2B806F31" w14:textId="77777777" w:rsidTr="58654A4A">
        <w:trPr>
          <w:trHeight w:val="2610"/>
        </w:trPr>
        <w:tc>
          <w:tcPr>
            <w:tcW w:w="0" w:type="auto"/>
            <w:tcBorders>
              <w:top w:val="nil"/>
              <w:left w:val="single" w:sz="4" w:space="0" w:color="auto"/>
              <w:bottom w:val="single" w:sz="4" w:space="0" w:color="auto"/>
              <w:right w:val="single" w:sz="4" w:space="0" w:color="auto"/>
            </w:tcBorders>
            <w:vAlign w:val="bottom"/>
            <w:hideMark/>
          </w:tcPr>
          <w:p w14:paraId="28B73FE2"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w:t>
            </w:r>
          </w:p>
        </w:tc>
        <w:tc>
          <w:tcPr>
            <w:tcW w:w="8910" w:type="dxa"/>
            <w:tcBorders>
              <w:top w:val="nil"/>
              <w:left w:val="nil"/>
              <w:bottom w:val="single" w:sz="4" w:space="0" w:color="auto"/>
              <w:right w:val="single" w:sz="4" w:space="0" w:color="auto"/>
            </w:tcBorders>
            <w:vAlign w:val="bottom"/>
            <w:hideMark/>
          </w:tcPr>
          <w:p w14:paraId="191A92DA"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(i)  for all such measurements, a narrative description of the sensitivity of the fair value measurement to changes in unobservable inputs if a change in those inputs   to   a   different   amount   might   result   in   a significantly higher or lower fair value measurement. If there are interrelationships between those inputs and other   observable inputs used in the fair value measurement, provide a description of those interrelationships and of how they might magnify or mitigate the effect of changes in the unobservable inputs on the fair value measurement. To comply with that disclosure requirement, the narrative description of the sensitivity to changes in unobservable inputs includes, at a minimum, the unobservable inputs disclosed when complying with (d); and</w:t>
            </w:r>
          </w:p>
        </w:tc>
      </w:tr>
      <w:tr w:rsidR="00476694" w:rsidRPr="00D24BF9" w14:paraId="7628E899" w14:textId="77777777" w:rsidTr="58654A4A">
        <w:trPr>
          <w:trHeight w:val="1740"/>
        </w:trPr>
        <w:tc>
          <w:tcPr>
            <w:tcW w:w="0" w:type="auto"/>
            <w:tcBorders>
              <w:top w:val="nil"/>
              <w:left w:val="single" w:sz="4" w:space="0" w:color="auto"/>
              <w:bottom w:val="single" w:sz="4" w:space="0" w:color="auto"/>
              <w:right w:val="single" w:sz="4" w:space="0" w:color="auto"/>
            </w:tcBorders>
            <w:vAlign w:val="bottom"/>
            <w:hideMark/>
          </w:tcPr>
          <w:p w14:paraId="793674E7" w14:textId="53E52627"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392FB469"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(ii)  for financial assets and financial liabilities, if changing one or more of the unobservable inputs to reflect reasonably possible alternative assumptions would change fair value significantly, state that fact and disclose the effect of those changes. Disclose how the effect of a change to reflect a reasonably possible alternative assumption was calculated. For that purpose, significance is judged with respect to profit or loss,  and  total  assets  or  total  liabilities – or,  when changes in   fair value are </w:t>
            </w:r>
            <w:proofErr w:type="spellStart"/>
            <w:r w:rsidRPr="00A11090">
              <w:rPr>
                <w:rFonts w:asciiTheme="majorHAnsi" w:eastAsia="Times New Roman" w:hAnsiTheme="majorHAnsi" w:cstheme="majorHAnsi"/>
                <w:color w:val="000000"/>
              </w:rPr>
              <w:t>recognised</w:t>
            </w:r>
            <w:proofErr w:type="spellEnd"/>
            <w:r w:rsidRPr="00A11090">
              <w:rPr>
                <w:rFonts w:asciiTheme="majorHAnsi" w:eastAsia="Times New Roman" w:hAnsiTheme="majorHAnsi" w:cstheme="majorHAnsi"/>
                <w:color w:val="000000"/>
              </w:rPr>
              <w:t xml:space="preserve"> in other comprehensive income, total equity; and </w:t>
            </w:r>
          </w:p>
        </w:tc>
      </w:tr>
      <w:tr w:rsidR="00476694" w:rsidRPr="00D24BF9" w14:paraId="05D80E3A" w14:textId="77777777" w:rsidTr="58654A4A">
        <w:trPr>
          <w:trHeight w:val="870"/>
        </w:trPr>
        <w:tc>
          <w:tcPr>
            <w:tcW w:w="0" w:type="auto"/>
            <w:tcBorders>
              <w:top w:val="nil"/>
              <w:left w:val="single" w:sz="4" w:space="0" w:color="auto"/>
              <w:bottom w:val="single" w:sz="4" w:space="0" w:color="auto"/>
              <w:right w:val="single" w:sz="4" w:space="0" w:color="auto"/>
            </w:tcBorders>
            <w:vAlign w:val="bottom"/>
            <w:hideMark/>
          </w:tcPr>
          <w:p w14:paraId="1A70283A" w14:textId="18F58A20"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5BC3E93F"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(iii)  for recurring and non-recurring fair value measurements, if the highest and best use of a non-financial asset differs from its current use, disclose that fact and why the non- financial  asset is being used in a manner that differs from its highest and best use.  </w:t>
            </w:r>
          </w:p>
        </w:tc>
      </w:tr>
      <w:tr w:rsidR="00476694" w:rsidRPr="00D24BF9" w14:paraId="334FBCC3"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4CA66F9B"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spacing w:val="-1"/>
              </w:rPr>
              <w:t xml:space="preserve">IFRS13 p94(a),(b)  </w:t>
            </w:r>
          </w:p>
        </w:tc>
        <w:tc>
          <w:tcPr>
            <w:tcW w:w="8910" w:type="dxa"/>
            <w:tcBorders>
              <w:top w:val="nil"/>
              <w:left w:val="nil"/>
              <w:bottom w:val="single" w:sz="4" w:space="0" w:color="auto"/>
              <w:right w:val="single" w:sz="4" w:space="0" w:color="auto"/>
            </w:tcBorders>
            <w:vAlign w:val="bottom"/>
            <w:hideMark/>
          </w:tcPr>
          <w:p w14:paraId="2814716A"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4.  Determine appropriate classes of assets and liabilities on the basis of the following: </w:t>
            </w:r>
          </w:p>
        </w:tc>
      </w:tr>
      <w:tr w:rsidR="00476694" w:rsidRPr="00D24BF9" w14:paraId="22501047"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150942BC" w14:textId="1EC0ACF1"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1F51DB20"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a)    the nature, characteristics and risks of the asset; and </w:t>
            </w:r>
          </w:p>
        </w:tc>
      </w:tr>
      <w:tr w:rsidR="00476694" w:rsidRPr="00D24BF9" w14:paraId="43D4E823"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748D295D" w14:textId="60B75FAF"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6678D01D"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b)     the level of the fair value hierarchy within which the fair value measurement is </w:t>
            </w:r>
            <w:proofErr w:type="spellStart"/>
            <w:r w:rsidRPr="00A11090">
              <w:rPr>
                <w:rFonts w:asciiTheme="majorHAnsi" w:eastAsia="Times New Roman" w:hAnsiTheme="majorHAnsi" w:cstheme="majorHAnsi"/>
                <w:color w:val="000000"/>
              </w:rPr>
              <w:t>categorised</w:t>
            </w:r>
            <w:proofErr w:type="spellEnd"/>
            <w:r w:rsidRPr="00A11090">
              <w:rPr>
                <w:rFonts w:asciiTheme="majorHAnsi" w:eastAsia="Times New Roman" w:hAnsiTheme="majorHAnsi" w:cstheme="majorHAnsi"/>
                <w:color w:val="000000"/>
              </w:rPr>
              <w:t xml:space="preserve">.  </w:t>
            </w:r>
          </w:p>
        </w:tc>
      </w:tr>
      <w:tr w:rsidR="00476694" w:rsidRPr="00D24BF9" w14:paraId="148DEDAC" w14:textId="77777777" w:rsidTr="58654A4A">
        <w:trPr>
          <w:trHeight w:val="870"/>
        </w:trPr>
        <w:tc>
          <w:tcPr>
            <w:tcW w:w="0" w:type="auto"/>
            <w:tcBorders>
              <w:top w:val="nil"/>
              <w:left w:val="single" w:sz="4" w:space="0" w:color="auto"/>
              <w:bottom w:val="single" w:sz="4" w:space="0" w:color="auto"/>
              <w:right w:val="single" w:sz="4" w:space="0" w:color="auto"/>
            </w:tcBorders>
            <w:vAlign w:val="bottom"/>
            <w:hideMark/>
          </w:tcPr>
          <w:p w14:paraId="59DA6D5E" w14:textId="75DE9702"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2BA28325" w14:textId="77777777" w:rsidR="00476694" w:rsidRPr="00A11090" w:rsidRDefault="00476694">
            <w:pPr>
              <w:rPr>
                <w:rFonts w:asciiTheme="majorHAnsi" w:eastAsia="Times New Roman" w:hAnsiTheme="majorHAnsi" w:cstheme="majorHAnsi"/>
                <w:color w:val="000000"/>
              </w:rPr>
            </w:pPr>
            <w:r w:rsidRPr="00A11090">
              <w:rPr>
                <w:rFonts w:asciiTheme="majorHAnsi" w:eastAsia="Symbol" w:hAnsiTheme="majorHAnsi" w:cstheme="majorHAnsi"/>
                <w:color w:val="000000"/>
              </w:rPr>
              <w:t xml:space="preserve">·       The number of classes may need to be greater for fair value measurements </w:t>
            </w:r>
            <w:proofErr w:type="spellStart"/>
            <w:r w:rsidRPr="00A11090">
              <w:rPr>
                <w:rFonts w:asciiTheme="majorHAnsi" w:eastAsia="Symbol" w:hAnsiTheme="majorHAnsi" w:cstheme="majorHAnsi"/>
                <w:color w:val="000000"/>
              </w:rPr>
              <w:t>categorised</w:t>
            </w:r>
            <w:proofErr w:type="spellEnd"/>
            <w:r w:rsidRPr="00A11090">
              <w:rPr>
                <w:rFonts w:asciiTheme="majorHAnsi" w:eastAsia="Symbol" w:hAnsiTheme="majorHAnsi" w:cstheme="majorHAnsi"/>
                <w:color w:val="000000"/>
              </w:rPr>
              <w:t xml:space="preserve"> within Level 3 of the fair value hierarchy because those measurements have a greater degree of uncertainty and subjectivity.  </w:t>
            </w:r>
          </w:p>
        </w:tc>
      </w:tr>
      <w:tr w:rsidR="00476694" w:rsidRPr="00D24BF9" w14:paraId="76425177" w14:textId="77777777" w:rsidTr="58654A4A">
        <w:trPr>
          <w:trHeight w:val="870"/>
        </w:trPr>
        <w:tc>
          <w:tcPr>
            <w:tcW w:w="0" w:type="auto"/>
            <w:tcBorders>
              <w:top w:val="nil"/>
              <w:left w:val="single" w:sz="4" w:space="0" w:color="auto"/>
              <w:bottom w:val="single" w:sz="4" w:space="0" w:color="auto"/>
              <w:right w:val="single" w:sz="4" w:space="0" w:color="auto"/>
            </w:tcBorders>
            <w:vAlign w:val="bottom"/>
            <w:hideMark/>
          </w:tcPr>
          <w:p w14:paraId="23E3A10C" w14:textId="77543124"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6EA620B9" w14:textId="77777777" w:rsidR="00476694" w:rsidRPr="00A11090" w:rsidRDefault="00476694">
            <w:pPr>
              <w:rPr>
                <w:rFonts w:asciiTheme="majorHAnsi" w:eastAsia="Times New Roman" w:hAnsiTheme="majorHAnsi" w:cstheme="majorHAnsi"/>
                <w:color w:val="000000"/>
              </w:rPr>
            </w:pPr>
            <w:r w:rsidRPr="00A11090">
              <w:rPr>
                <w:rFonts w:asciiTheme="majorHAnsi" w:eastAsia="Symbol" w:hAnsiTheme="majorHAnsi" w:cstheme="majorHAnsi"/>
                <w:color w:val="000000"/>
              </w:rPr>
              <w:t xml:space="preserve">·       Determining the appropriate classes of assets and liabilities for which disclosures about fair value measurements shall be provided requires judgement. A class of assets and liabilities will often require greater disaggregation than the line items presented in the statement of financial position.  </w:t>
            </w:r>
          </w:p>
        </w:tc>
      </w:tr>
      <w:tr w:rsidR="00476694" w:rsidRPr="00D24BF9" w14:paraId="298E16EC" w14:textId="77777777" w:rsidTr="58654A4A">
        <w:trPr>
          <w:trHeight w:val="1160"/>
        </w:trPr>
        <w:tc>
          <w:tcPr>
            <w:tcW w:w="0" w:type="auto"/>
            <w:tcBorders>
              <w:top w:val="nil"/>
              <w:left w:val="single" w:sz="4" w:space="0" w:color="auto"/>
              <w:bottom w:val="single" w:sz="4" w:space="0" w:color="auto"/>
              <w:right w:val="single" w:sz="4" w:space="0" w:color="auto"/>
            </w:tcBorders>
            <w:vAlign w:val="bottom"/>
            <w:hideMark/>
          </w:tcPr>
          <w:p w14:paraId="693C3099" w14:textId="73EE375F"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45214CDA" w14:textId="77777777" w:rsidR="00476694" w:rsidRPr="00A11090" w:rsidRDefault="00476694">
            <w:pPr>
              <w:rPr>
                <w:rFonts w:asciiTheme="majorHAnsi" w:eastAsia="Times New Roman" w:hAnsiTheme="majorHAnsi" w:cstheme="majorHAnsi"/>
                <w:color w:val="000000"/>
              </w:rPr>
            </w:pPr>
            <w:r w:rsidRPr="00A11090">
              <w:rPr>
                <w:rFonts w:asciiTheme="majorHAnsi" w:eastAsia="Symbol" w:hAnsiTheme="majorHAnsi" w:cstheme="majorHAnsi"/>
                <w:color w:val="000000"/>
              </w:rPr>
              <w:t xml:space="preserve">·       Provide information sufficient to permit reconciliation to the line items presented in the statement of financial position. If another IFRS specifies the class for an asset, an entity may use that class in providing the disclosures required in IFRS 13 if that class meets the requirements in IFRS 13 para 94.  </w:t>
            </w:r>
          </w:p>
        </w:tc>
      </w:tr>
      <w:tr w:rsidR="00476694" w:rsidRPr="00D24BF9" w14:paraId="18EF9D68" w14:textId="77777777" w:rsidTr="58654A4A">
        <w:trPr>
          <w:trHeight w:val="1450"/>
        </w:trPr>
        <w:tc>
          <w:tcPr>
            <w:tcW w:w="0" w:type="auto"/>
            <w:tcBorders>
              <w:top w:val="nil"/>
              <w:left w:val="single" w:sz="4" w:space="0" w:color="auto"/>
              <w:bottom w:val="single" w:sz="4" w:space="0" w:color="auto"/>
              <w:right w:val="single" w:sz="4" w:space="0" w:color="auto"/>
            </w:tcBorders>
            <w:vAlign w:val="bottom"/>
            <w:hideMark/>
          </w:tcPr>
          <w:p w14:paraId="4B121966"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IFRS13 p95  (a)-(c)   </w:t>
            </w:r>
          </w:p>
        </w:tc>
        <w:tc>
          <w:tcPr>
            <w:tcW w:w="8910" w:type="dxa"/>
            <w:tcBorders>
              <w:top w:val="nil"/>
              <w:left w:val="nil"/>
              <w:bottom w:val="single" w:sz="4" w:space="0" w:color="auto"/>
              <w:right w:val="single" w:sz="4" w:space="0" w:color="auto"/>
            </w:tcBorders>
            <w:vAlign w:val="bottom"/>
            <w:hideMark/>
          </w:tcPr>
          <w:p w14:paraId="10654AB4"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5  Disclose and consistently follow the entity’s policy for determining  when transfers between levels of the fair value hierarchy are deemed to have occurred in accordance with IFRS 13 para 93(c)  and (e)(iv). The policy about the timing of </w:t>
            </w:r>
            <w:proofErr w:type="spellStart"/>
            <w:r w:rsidRPr="00A11090">
              <w:rPr>
                <w:rFonts w:asciiTheme="majorHAnsi" w:eastAsia="Times New Roman" w:hAnsiTheme="majorHAnsi" w:cstheme="majorHAnsi"/>
                <w:color w:val="000000"/>
              </w:rPr>
              <w:t>recognising</w:t>
            </w:r>
            <w:proofErr w:type="spellEnd"/>
            <w:r w:rsidRPr="00A11090">
              <w:rPr>
                <w:rFonts w:asciiTheme="majorHAnsi" w:eastAsia="Times New Roman" w:hAnsiTheme="majorHAnsi" w:cstheme="majorHAnsi"/>
                <w:color w:val="000000"/>
              </w:rPr>
              <w:t xml:space="preserve"> transfers is the same for transfers into the levels as for transfers out of the levels. Examples of policies for determining the timing of transfers include the following:  </w:t>
            </w:r>
          </w:p>
        </w:tc>
      </w:tr>
      <w:tr w:rsidR="00476694" w:rsidRPr="00D24BF9" w14:paraId="23473D46"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3B76533B" w14:textId="14CF3D1D"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4563DDF8"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(a)   the date of the event or change in circumstances that caused the transfer;</w:t>
            </w:r>
          </w:p>
        </w:tc>
      </w:tr>
      <w:tr w:rsidR="00476694" w:rsidRPr="00D24BF9" w14:paraId="265BF9E4" w14:textId="77777777" w:rsidTr="58654A4A">
        <w:trPr>
          <w:trHeight w:val="290"/>
        </w:trPr>
        <w:tc>
          <w:tcPr>
            <w:tcW w:w="0" w:type="auto"/>
            <w:tcBorders>
              <w:top w:val="nil"/>
              <w:left w:val="single" w:sz="4" w:space="0" w:color="auto"/>
              <w:bottom w:val="single" w:sz="4" w:space="0" w:color="auto"/>
              <w:right w:val="single" w:sz="4" w:space="0" w:color="auto"/>
            </w:tcBorders>
            <w:vAlign w:val="bottom"/>
            <w:hideMark/>
          </w:tcPr>
          <w:p w14:paraId="7F067986" w14:textId="6D682FEA"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3670F461"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(b)   the beginning of the reporting period; and the end of the reporting period.</w:t>
            </w:r>
          </w:p>
        </w:tc>
      </w:tr>
      <w:tr w:rsidR="00476694" w:rsidRPr="00D24BF9" w14:paraId="7C85DB4D" w14:textId="77777777" w:rsidTr="58654A4A">
        <w:trPr>
          <w:trHeight w:val="870"/>
        </w:trPr>
        <w:tc>
          <w:tcPr>
            <w:tcW w:w="0" w:type="auto"/>
            <w:tcBorders>
              <w:top w:val="nil"/>
              <w:left w:val="single" w:sz="4" w:space="0" w:color="auto"/>
              <w:bottom w:val="single" w:sz="4" w:space="0" w:color="auto"/>
              <w:right w:val="single" w:sz="4" w:space="0" w:color="auto"/>
            </w:tcBorders>
            <w:vAlign w:val="bottom"/>
            <w:hideMark/>
          </w:tcPr>
          <w:p w14:paraId="318E72B3"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IFRS13 p96  </w:t>
            </w:r>
          </w:p>
        </w:tc>
        <w:tc>
          <w:tcPr>
            <w:tcW w:w="8910" w:type="dxa"/>
            <w:tcBorders>
              <w:top w:val="nil"/>
              <w:left w:val="nil"/>
              <w:bottom w:val="single" w:sz="4" w:space="0" w:color="auto"/>
              <w:right w:val="single" w:sz="4" w:space="0" w:color="auto"/>
            </w:tcBorders>
            <w:vAlign w:val="bottom"/>
            <w:hideMark/>
          </w:tcPr>
          <w:p w14:paraId="40D312D2"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6.  If an entity makes an accounting policy decision to use the exception in IFRS 13 para 48 (exemption where an entity manages a group of financial assets and liabilities on the basis of its net exposure to market or credit risk), disclose that fact. </w:t>
            </w:r>
          </w:p>
        </w:tc>
      </w:tr>
      <w:tr w:rsidR="00476694" w:rsidRPr="00D24BF9" w14:paraId="2FB2BDE3" w14:textId="77777777" w:rsidTr="58654A4A">
        <w:trPr>
          <w:trHeight w:val="580"/>
        </w:trPr>
        <w:tc>
          <w:tcPr>
            <w:tcW w:w="0" w:type="auto"/>
            <w:tcBorders>
              <w:top w:val="nil"/>
              <w:left w:val="single" w:sz="4" w:space="0" w:color="auto"/>
              <w:bottom w:val="single" w:sz="4" w:space="0" w:color="auto"/>
              <w:right w:val="single" w:sz="4" w:space="0" w:color="auto"/>
            </w:tcBorders>
            <w:vAlign w:val="bottom"/>
            <w:hideMark/>
          </w:tcPr>
          <w:p w14:paraId="363B1115"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IFRS13 p97  </w:t>
            </w:r>
          </w:p>
        </w:tc>
        <w:tc>
          <w:tcPr>
            <w:tcW w:w="8910" w:type="dxa"/>
            <w:tcBorders>
              <w:top w:val="nil"/>
              <w:left w:val="nil"/>
              <w:bottom w:val="single" w:sz="4" w:space="0" w:color="auto"/>
              <w:right w:val="single" w:sz="4" w:space="0" w:color="auto"/>
            </w:tcBorders>
            <w:vAlign w:val="bottom"/>
            <w:hideMark/>
          </w:tcPr>
          <w:p w14:paraId="130B3311"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7.  For each class of asset not measured at fair value in the statement of financial position but for which fair value is disclosed, disclose the information required by IFRS 13 para 93(b)-(d) and (i).  </w:t>
            </w:r>
          </w:p>
        </w:tc>
      </w:tr>
      <w:tr w:rsidR="00476694" w:rsidRPr="00D24BF9" w14:paraId="7DA1ED22" w14:textId="77777777" w:rsidTr="58654A4A">
        <w:trPr>
          <w:trHeight w:val="1160"/>
        </w:trPr>
        <w:tc>
          <w:tcPr>
            <w:tcW w:w="0" w:type="auto"/>
            <w:tcBorders>
              <w:top w:val="nil"/>
              <w:left w:val="single" w:sz="4" w:space="0" w:color="auto"/>
              <w:bottom w:val="single" w:sz="4" w:space="0" w:color="auto"/>
              <w:right w:val="single" w:sz="4" w:space="0" w:color="auto"/>
            </w:tcBorders>
            <w:vAlign w:val="bottom"/>
            <w:hideMark/>
          </w:tcPr>
          <w:p w14:paraId="772B7578" w14:textId="51030E8E" w:rsidR="00476694" w:rsidRPr="00A11090" w:rsidRDefault="00476694" w:rsidP="58654A4A">
            <w:pPr>
              <w:rPr>
                <w:rFonts w:asciiTheme="majorHAnsi" w:eastAsia="Times New Roman" w:hAnsiTheme="majorHAnsi" w:cstheme="majorBidi"/>
                <w:color w:val="000000"/>
              </w:rPr>
            </w:pPr>
          </w:p>
        </w:tc>
        <w:tc>
          <w:tcPr>
            <w:tcW w:w="8910" w:type="dxa"/>
            <w:tcBorders>
              <w:top w:val="nil"/>
              <w:left w:val="nil"/>
              <w:bottom w:val="single" w:sz="4" w:space="0" w:color="auto"/>
              <w:right w:val="single" w:sz="4" w:space="0" w:color="auto"/>
            </w:tcBorders>
            <w:vAlign w:val="bottom"/>
            <w:hideMark/>
          </w:tcPr>
          <w:p w14:paraId="59466BC9"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However, an entity is not required to provide the quantitative disclosures about significant unobservable inputs used in fair value measurements </w:t>
            </w:r>
            <w:proofErr w:type="spellStart"/>
            <w:r w:rsidRPr="00A11090">
              <w:rPr>
                <w:rFonts w:asciiTheme="majorHAnsi" w:eastAsia="Times New Roman" w:hAnsiTheme="majorHAnsi" w:cstheme="majorHAnsi"/>
                <w:color w:val="000000"/>
              </w:rPr>
              <w:t>categorised</w:t>
            </w:r>
            <w:proofErr w:type="spellEnd"/>
            <w:r w:rsidRPr="00A11090">
              <w:rPr>
                <w:rFonts w:asciiTheme="majorHAnsi" w:eastAsia="Times New Roman" w:hAnsiTheme="majorHAnsi" w:cstheme="majorHAnsi"/>
                <w:color w:val="000000"/>
              </w:rPr>
              <w:t xml:space="preserve"> within Level 3 of the fair value hierarchy required by IFRS 13 para 93(d). For such assets and  liabilities, an entity does not need to provide the other disclosures required by this IFRS.  </w:t>
            </w:r>
          </w:p>
        </w:tc>
      </w:tr>
      <w:tr w:rsidR="00476694" w:rsidRPr="00D24BF9" w14:paraId="1DFD0C3A" w14:textId="77777777" w:rsidTr="58654A4A">
        <w:trPr>
          <w:trHeight w:val="580"/>
        </w:trPr>
        <w:tc>
          <w:tcPr>
            <w:tcW w:w="0" w:type="auto"/>
            <w:tcBorders>
              <w:top w:val="nil"/>
              <w:left w:val="single" w:sz="4" w:space="0" w:color="auto"/>
              <w:bottom w:val="single" w:sz="4" w:space="0" w:color="auto"/>
              <w:right w:val="single" w:sz="4" w:space="0" w:color="auto"/>
            </w:tcBorders>
            <w:hideMark/>
          </w:tcPr>
          <w:p w14:paraId="48133FDD"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IFRS13 p99  </w:t>
            </w:r>
          </w:p>
        </w:tc>
        <w:tc>
          <w:tcPr>
            <w:tcW w:w="8910" w:type="dxa"/>
            <w:tcBorders>
              <w:top w:val="nil"/>
              <w:left w:val="nil"/>
              <w:bottom w:val="single" w:sz="4" w:space="0" w:color="auto"/>
              <w:right w:val="single" w:sz="4" w:space="0" w:color="auto"/>
            </w:tcBorders>
            <w:hideMark/>
          </w:tcPr>
          <w:p w14:paraId="2585EDB5" w14:textId="77777777" w:rsidR="00476694" w:rsidRPr="00A11090" w:rsidRDefault="00476694">
            <w:pPr>
              <w:rPr>
                <w:rFonts w:asciiTheme="majorHAnsi" w:eastAsia="Times New Roman" w:hAnsiTheme="majorHAnsi" w:cstheme="majorHAnsi"/>
                <w:color w:val="000000"/>
              </w:rPr>
            </w:pPr>
            <w:r w:rsidRPr="00A11090">
              <w:rPr>
                <w:rFonts w:asciiTheme="majorHAnsi" w:eastAsia="Times New Roman" w:hAnsiTheme="majorHAnsi" w:cstheme="majorHAnsi"/>
                <w:color w:val="000000"/>
              </w:rPr>
              <w:t xml:space="preserve">8.  Present the quantitative disclosures required by this IFRS in a tabular format unless another format is more appropriate. </w:t>
            </w:r>
          </w:p>
        </w:tc>
      </w:tr>
    </w:tbl>
    <w:p w14:paraId="65C2E653" w14:textId="77777777" w:rsidR="00476694" w:rsidRDefault="00476694" w:rsidP="7EAD82D3">
      <w:pPr>
        <w:jc w:val="both"/>
        <w:rPr>
          <w:rFonts w:asciiTheme="majorHAnsi" w:hAnsiTheme="majorHAnsi" w:cstheme="majorBidi"/>
          <w:color w:val="000000"/>
          <w:highlight w:val="yellow"/>
        </w:rPr>
      </w:pPr>
    </w:p>
    <w:p w14:paraId="46CCDFBE" w14:textId="77777777" w:rsidR="003F7E46" w:rsidRDefault="003F7E46" w:rsidP="7EAD82D3">
      <w:pPr>
        <w:jc w:val="both"/>
        <w:rPr>
          <w:rFonts w:asciiTheme="majorHAnsi" w:hAnsiTheme="majorHAnsi" w:cstheme="majorBidi"/>
          <w:color w:val="000000"/>
          <w:highlight w:val="yellow"/>
        </w:rPr>
      </w:pPr>
    </w:p>
    <w:p w14:paraId="29395A8B" w14:textId="77777777" w:rsidR="00AF25A0" w:rsidRDefault="00AF25A0" w:rsidP="7EAD82D3">
      <w:pPr>
        <w:jc w:val="both"/>
        <w:rPr>
          <w:rFonts w:asciiTheme="majorHAnsi" w:hAnsiTheme="majorHAnsi" w:cstheme="majorBidi"/>
          <w:color w:val="000000"/>
          <w:highlight w:val="yellow"/>
        </w:rPr>
      </w:pPr>
    </w:p>
    <w:p w14:paraId="5075D97F" w14:textId="77777777" w:rsidR="00AF25A0" w:rsidRDefault="00AF25A0" w:rsidP="7EAD82D3">
      <w:pPr>
        <w:jc w:val="both"/>
        <w:rPr>
          <w:rFonts w:asciiTheme="majorHAnsi" w:hAnsiTheme="majorHAnsi" w:cstheme="majorBidi"/>
          <w:color w:val="000000"/>
          <w:highlight w:val="yellow"/>
        </w:rPr>
      </w:pPr>
    </w:p>
    <w:p w14:paraId="1C7A24B0" w14:textId="77777777" w:rsidR="00AF25A0" w:rsidRDefault="00AF25A0" w:rsidP="7EAD82D3">
      <w:pPr>
        <w:jc w:val="both"/>
        <w:rPr>
          <w:rFonts w:asciiTheme="majorHAnsi" w:hAnsiTheme="majorHAnsi" w:cstheme="majorBidi"/>
          <w:color w:val="000000"/>
          <w:highlight w:val="yellow"/>
        </w:rPr>
      </w:pPr>
    </w:p>
    <w:p w14:paraId="217779FD" w14:textId="77777777" w:rsidR="00AF25A0" w:rsidRPr="00373D98" w:rsidRDefault="00AF25A0" w:rsidP="7EAD82D3">
      <w:pPr>
        <w:jc w:val="both"/>
        <w:rPr>
          <w:rFonts w:asciiTheme="majorHAnsi" w:hAnsiTheme="majorHAnsi" w:cstheme="majorBidi"/>
          <w:color w:val="000000"/>
          <w:highlight w:val="yellow"/>
        </w:rPr>
      </w:pPr>
    </w:p>
    <w:p w14:paraId="2D98F465" w14:textId="77777777" w:rsidR="00373D98" w:rsidRPr="00373D98" w:rsidRDefault="00373D98" w:rsidP="00373D98">
      <w:pPr>
        <w:pStyle w:val="Heading1"/>
        <w:numPr>
          <w:ilvl w:val="0"/>
          <w:numId w:val="39"/>
        </w:numPr>
        <w:spacing w:after="240"/>
        <w:rPr>
          <w:rFonts w:cstheme="majorHAnsi"/>
        </w:rPr>
      </w:pPr>
      <w:bookmarkStart w:id="30" w:name="_Toc213491732"/>
      <w:r w:rsidRPr="00373D98">
        <w:rPr>
          <w:rFonts w:cstheme="majorHAnsi"/>
        </w:rPr>
        <w:lastRenderedPageBreak/>
        <w:t>Defined Terms</w:t>
      </w:r>
      <w:bookmarkEnd w:id="3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2481"/>
        <w:gridCol w:w="6159"/>
      </w:tblGrid>
      <w:tr w:rsidR="00373D98" w:rsidRPr="00373D98" w14:paraId="4245241F" w14:textId="77777777">
        <w:tc>
          <w:tcPr>
            <w:tcW w:w="0" w:type="auto"/>
            <w:shd w:val="clear" w:color="auto" w:fill="FFFFFF"/>
            <w:tcMar>
              <w:top w:w="45" w:type="dxa"/>
              <w:left w:w="45" w:type="dxa"/>
              <w:bottom w:w="45" w:type="dxa"/>
              <w:right w:w="45" w:type="dxa"/>
            </w:tcMar>
            <w:hideMark/>
          </w:tcPr>
          <w:p w14:paraId="3D60EF3C"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active market</w:t>
            </w:r>
          </w:p>
        </w:tc>
        <w:tc>
          <w:tcPr>
            <w:tcW w:w="0" w:type="auto"/>
            <w:shd w:val="clear" w:color="auto" w:fill="FFFFFF"/>
            <w:tcMar>
              <w:top w:w="45" w:type="dxa"/>
              <w:left w:w="45" w:type="dxa"/>
              <w:bottom w:w="45" w:type="dxa"/>
              <w:right w:w="45" w:type="dxa"/>
            </w:tcMar>
            <w:hideMark/>
          </w:tcPr>
          <w:p w14:paraId="4AC6A8C3"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A market in which transactions for the asset or liability take place with sufficient frequency and volume to provide pricing information on an ongoing basis.</w:t>
            </w:r>
          </w:p>
        </w:tc>
      </w:tr>
      <w:tr w:rsidR="00373D98" w:rsidRPr="00373D98" w14:paraId="63582A9F" w14:textId="77777777">
        <w:tc>
          <w:tcPr>
            <w:tcW w:w="0" w:type="auto"/>
            <w:shd w:val="clear" w:color="auto" w:fill="FFFFFF"/>
            <w:tcMar>
              <w:top w:w="45" w:type="dxa"/>
              <w:left w:w="45" w:type="dxa"/>
              <w:bottom w:w="45" w:type="dxa"/>
              <w:right w:w="45" w:type="dxa"/>
            </w:tcMar>
            <w:hideMark/>
          </w:tcPr>
          <w:p w14:paraId="71878696"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cost approach</w:t>
            </w:r>
          </w:p>
        </w:tc>
        <w:tc>
          <w:tcPr>
            <w:tcW w:w="0" w:type="auto"/>
            <w:shd w:val="clear" w:color="auto" w:fill="FFFFFF"/>
            <w:tcMar>
              <w:top w:w="45" w:type="dxa"/>
              <w:left w:w="45" w:type="dxa"/>
              <w:bottom w:w="45" w:type="dxa"/>
              <w:right w:w="45" w:type="dxa"/>
            </w:tcMar>
            <w:hideMark/>
          </w:tcPr>
          <w:p w14:paraId="774313B6"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A valuation technique that reflects the amount that would be required currently to replace the service capacity of an asset (often referred to as current replacement cost). </w:t>
            </w:r>
          </w:p>
        </w:tc>
      </w:tr>
      <w:tr w:rsidR="00373D98" w:rsidRPr="00373D98" w14:paraId="546F50CB" w14:textId="77777777">
        <w:tc>
          <w:tcPr>
            <w:tcW w:w="0" w:type="auto"/>
            <w:shd w:val="clear" w:color="auto" w:fill="FFFFFF"/>
            <w:tcMar>
              <w:top w:w="45" w:type="dxa"/>
              <w:left w:w="45" w:type="dxa"/>
              <w:bottom w:w="45" w:type="dxa"/>
              <w:right w:w="45" w:type="dxa"/>
            </w:tcMar>
            <w:hideMark/>
          </w:tcPr>
          <w:p w14:paraId="5D7EF61F" w14:textId="1551F560" w:rsidR="00E463A3" w:rsidRDefault="00E463A3">
            <w:pPr>
              <w:ind w:left="360"/>
              <w:jc w:val="both"/>
              <w:rPr>
                <w:rFonts w:asciiTheme="majorHAnsi" w:hAnsiTheme="majorHAnsi" w:cstheme="majorHAnsi"/>
                <w:b/>
                <w:bCs/>
                <w:color w:val="000000"/>
              </w:rPr>
            </w:pPr>
            <w:r>
              <w:rPr>
                <w:rFonts w:asciiTheme="majorHAnsi" w:hAnsiTheme="majorHAnsi" w:cstheme="majorHAnsi"/>
                <w:b/>
                <w:bCs/>
                <w:color w:val="000000"/>
              </w:rPr>
              <w:t>discount rate</w:t>
            </w:r>
          </w:p>
          <w:p w14:paraId="0817E8E3" w14:textId="77777777" w:rsidR="00E463A3" w:rsidRDefault="00E463A3">
            <w:pPr>
              <w:ind w:left="360"/>
              <w:jc w:val="both"/>
              <w:rPr>
                <w:rFonts w:asciiTheme="majorHAnsi" w:hAnsiTheme="majorHAnsi" w:cstheme="majorHAnsi"/>
                <w:b/>
                <w:bCs/>
                <w:color w:val="000000"/>
              </w:rPr>
            </w:pPr>
          </w:p>
          <w:p w14:paraId="06C55C1A" w14:textId="77777777" w:rsidR="006010BD" w:rsidRDefault="006010BD">
            <w:pPr>
              <w:ind w:left="360"/>
              <w:jc w:val="both"/>
              <w:rPr>
                <w:rFonts w:asciiTheme="majorHAnsi" w:hAnsiTheme="majorHAnsi" w:cstheme="majorHAnsi"/>
                <w:b/>
                <w:bCs/>
                <w:color w:val="000000"/>
              </w:rPr>
            </w:pPr>
          </w:p>
          <w:p w14:paraId="4867F931" w14:textId="720A0DEE"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entry price</w:t>
            </w:r>
          </w:p>
        </w:tc>
        <w:tc>
          <w:tcPr>
            <w:tcW w:w="0" w:type="auto"/>
            <w:shd w:val="clear" w:color="auto" w:fill="FFFFFF"/>
            <w:tcMar>
              <w:top w:w="45" w:type="dxa"/>
              <w:left w:w="45" w:type="dxa"/>
              <w:bottom w:w="45" w:type="dxa"/>
              <w:right w:w="45" w:type="dxa"/>
            </w:tcMar>
            <w:hideMark/>
          </w:tcPr>
          <w:p w14:paraId="22C6C234" w14:textId="321CF035" w:rsidR="00E463A3" w:rsidRDefault="006010BD">
            <w:pPr>
              <w:ind w:left="360"/>
              <w:jc w:val="both"/>
              <w:rPr>
                <w:rFonts w:asciiTheme="majorHAnsi" w:hAnsiTheme="majorHAnsi" w:cstheme="majorHAnsi"/>
                <w:color w:val="000000"/>
              </w:rPr>
            </w:pPr>
            <w:r>
              <w:rPr>
                <w:rFonts w:asciiTheme="majorHAnsi" w:hAnsiTheme="majorHAnsi" w:cstheme="majorHAnsi"/>
                <w:color w:val="000000"/>
              </w:rPr>
              <w:t xml:space="preserve">A rate of Return used to convert Economic Income into present value. </w:t>
            </w:r>
          </w:p>
          <w:p w14:paraId="4ACB6CE2" w14:textId="77777777" w:rsidR="00E463A3" w:rsidRDefault="00E463A3">
            <w:pPr>
              <w:ind w:left="360"/>
              <w:jc w:val="both"/>
              <w:rPr>
                <w:rFonts w:asciiTheme="majorHAnsi" w:hAnsiTheme="majorHAnsi" w:cstheme="majorHAnsi"/>
                <w:color w:val="000000"/>
              </w:rPr>
            </w:pPr>
          </w:p>
          <w:p w14:paraId="57CFA810" w14:textId="1DA6CB02"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price paid to acquire an asset or received to assume a liability in an exchange transaction.</w:t>
            </w:r>
          </w:p>
        </w:tc>
      </w:tr>
      <w:tr w:rsidR="00373D98" w:rsidRPr="00373D98" w14:paraId="61575299" w14:textId="77777777">
        <w:tc>
          <w:tcPr>
            <w:tcW w:w="0" w:type="auto"/>
            <w:shd w:val="clear" w:color="auto" w:fill="FFFFFF"/>
            <w:tcMar>
              <w:top w:w="45" w:type="dxa"/>
              <w:left w:w="45" w:type="dxa"/>
              <w:bottom w:w="45" w:type="dxa"/>
              <w:right w:w="45" w:type="dxa"/>
            </w:tcMar>
            <w:hideMark/>
          </w:tcPr>
          <w:p w14:paraId="4D7B5390"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exit price</w:t>
            </w:r>
          </w:p>
        </w:tc>
        <w:tc>
          <w:tcPr>
            <w:tcW w:w="0" w:type="auto"/>
            <w:shd w:val="clear" w:color="auto" w:fill="FFFFFF"/>
            <w:tcMar>
              <w:top w:w="45" w:type="dxa"/>
              <w:left w:w="45" w:type="dxa"/>
              <w:bottom w:w="45" w:type="dxa"/>
              <w:right w:w="45" w:type="dxa"/>
            </w:tcMar>
            <w:hideMark/>
          </w:tcPr>
          <w:p w14:paraId="0F4190A9"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price that would be received to sell an asset or paid to transfer a liability. </w:t>
            </w:r>
          </w:p>
        </w:tc>
      </w:tr>
      <w:tr w:rsidR="00373D98" w:rsidRPr="00373D98" w14:paraId="4A8F4A66" w14:textId="77777777">
        <w:tc>
          <w:tcPr>
            <w:tcW w:w="0" w:type="auto"/>
            <w:shd w:val="clear" w:color="auto" w:fill="FFFFFF"/>
            <w:tcMar>
              <w:top w:w="45" w:type="dxa"/>
              <w:left w:w="45" w:type="dxa"/>
              <w:bottom w:w="45" w:type="dxa"/>
              <w:right w:w="45" w:type="dxa"/>
            </w:tcMar>
            <w:hideMark/>
          </w:tcPr>
          <w:p w14:paraId="74C7950F" w14:textId="77777777" w:rsidR="00373D98" w:rsidRDefault="00373D98">
            <w:pPr>
              <w:ind w:left="360"/>
              <w:jc w:val="both"/>
              <w:rPr>
                <w:rFonts w:asciiTheme="majorHAnsi" w:hAnsiTheme="majorHAnsi" w:cstheme="majorHAnsi"/>
                <w:b/>
                <w:bCs/>
                <w:color w:val="000000"/>
              </w:rPr>
            </w:pPr>
            <w:r w:rsidRPr="00373D98">
              <w:rPr>
                <w:rFonts w:asciiTheme="majorHAnsi" w:hAnsiTheme="majorHAnsi" w:cstheme="majorHAnsi"/>
                <w:b/>
                <w:bCs/>
                <w:color w:val="000000"/>
              </w:rPr>
              <w:t>expected cash flow</w:t>
            </w:r>
          </w:p>
          <w:p w14:paraId="4CD3630B" w14:textId="77777777" w:rsidR="00E463A3" w:rsidRDefault="00E463A3">
            <w:pPr>
              <w:ind w:left="360"/>
              <w:jc w:val="both"/>
              <w:rPr>
                <w:rFonts w:asciiTheme="majorHAnsi" w:hAnsiTheme="majorHAnsi" w:cstheme="majorHAnsi"/>
                <w:b/>
                <w:bCs/>
                <w:color w:val="000000"/>
              </w:rPr>
            </w:pPr>
          </w:p>
          <w:p w14:paraId="6E08A20D" w14:textId="749D94DF" w:rsidR="00E463A3" w:rsidRPr="00373D98" w:rsidRDefault="00E463A3">
            <w:pPr>
              <w:ind w:left="360"/>
              <w:jc w:val="both"/>
              <w:rPr>
                <w:rFonts w:asciiTheme="majorHAnsi" w:hAnsiTheme="majorHAnsi" w:cstheme="majorHAnsi"/>
                <w:color w:val="000000"/>
              </w:rPr>
            </w:pPr>
          </w:p>
        </w:tc>
        <w:tc>
          <w:tcPr>
            <w:tcW w:w="0" w:type="auto"/>
            <w:shd w:val="clear" w:color="auto" w:fill="FFFFFF"/>
            <w:tcMar>
              <w:top w:w="45" w:type="dxa"/>
              <w:left w:w="45" w:type="dxa"/>
              <w:bottom w:w="45" w:type="dxa"/>
              <w:right w:w="45" w:type="dxa"/>
            </w:tcMar>
            <w:hideMark/>
          </w:tcPr>
          <w:p w14:paraId="1D4EDD67" w14:textId="77777777" w:rsidR="00E463A3" w:rsidRDefault="00373D98" w:rsidP="00E463A3">
            <w:pPr>
              <w:ind w:left="360"/>
              <w:jc w:val="both"/>
              <w:rPr>
                <w:rFonts w:asciiTheme="majorHAnsi" w:hAnsiTheme="majorHAnsi" w:cstheme="majorHAnsi"/>
                <w:color w:val="000000"/>
              </w:rPr>
            </w:pPr>
            <w:r w:rsidRPr="00373D98">
              <w:rPr>
                <w:rFonts w:asciiTheme="majorHAnsi" w:hAnsiTheme="majorHAnsi" w:cstheme="majorHAnsi"/>
                <w:color w:val="000000"/>
              </w:rPr>
              <w:t>The probability</w:t>
            </w:r>
            <w:r w:rsidRPr="00373D98">
              <w:rPr>
                <w:rFonts w:asciiTheme="majorHAnsi" w:hAnsiTheme="majorHAnsi" w:cstheme="majorHAnsi"/>
                <w:color w:val="000000"/>
              </w:rPr>
              <w:noBreakHyphen/>
              <w:t>weighted average (</w:t>
            </w:r>
            <w:proofErr w:type="spellStart"/>
            <w:r w:rsidRPr="00373D98">
              <w:rPr>
                <w:rFonts w:asciiTheme="majorHAnsi" w:hAnsiTheme="majorHAnsi" w:cstheme="majorHAnsi"/>
                <w:color w:val="000000"/>
              </w:rPr>
              <w:t>ie</w:t>
            </w:r>
            <w:proofErr w:type="spellEnd"/>
            <w:r w:rsidRPr="00373D98">
              <w:rPr>
                <w:rFonts w:asciiTheme="majorHAnsi" w:hAnsiTheme="majorHAnsi" w:cstheme="majorHAnsi"/>
                <w:color w:val="000000"/>
              </w:rPr>
              <w:t xml:space="preserve"> mean of the distribution) of possible future cash flows.</w:t>
            </w:r>
          </w:p>
          <w:p w14:paraId="40A01D52" w14:textId="77777777" w:rsidR="00E463A3" w:rsidRDefault="00E463A3" w:rsidP="00E463A3">
            <w:pPr>
              <w:ind w:left="360"/>
              <w:jc w:val="both"/>
              <w:rPr>
                <w:rFonts w:asciiTheme="majorHAnsi" w:hAnsiTheme="majorHAnsi" w:cstheme="majorHAnsi"/>
                <w:color w:val="000000"/>
              </w:rPr>
            </w:pPr>
          </w:p>
          <w:p w14:paraId="5C3DD132" w14:textId="1BA818DC" w:rsidR="00E463A3" w:rsidRPr="00373D98" w:rsidRDefault="00E463A3" w:rsidP="00E463A3">
            <w:pPr>
              <w:ind w:left="360"/>
              <w:jc w:val="both"/>
              <w:rPr>
                <w:rFonts w:asciiTheme="majorHAnsi" w:hAnsiTheme="majorHAnsi" w:cstheme="majorHAnsi"/>
                <w:color w:val="000000"/>
              </w:rPr>
            </w:pPr>
          </w:p>
        </w:tc>
      </w:tr>
      <w:tr w:rsidR="00373D98" w:rsidRPr="00373D98" w14:paraId="122BEB4C" w14:textId="77777777">
        <w:tc>
          <w:tcPr>
            <w:tcW w:w="0" w:type="auto"/>
            <w:shd w:val="clear" w:color="auto" w:fill="FFFFFF"/>
            <w:tcMar>
              <w:top w:w="45" w:type="dxa"/>
              <w:left w:w="45" w:type="dxa"/>
              <w:bottom w:w="45" w:type="dxa"/>
              <w:right w:w="45" w:type="dxa"/>
            </w:tcMar>
            <w:hideMark/>
          </w:tcPr>
          <w:p w14:paraId="7625FFB8"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fair value</w:t>
            </w:r>
          </w:p>
        </w:tc>
        <w:tc>
          <w:tcPr>
            <w:tcW w:w="0" w:type="auto"/>
            <w:shd w:val="clear" w:color="auto" w:fill="FFFFFF"/>
            <w:tcMar>
              <w:top w:w="45" w:type="dxa"/>
              <w:left w:w="45" w:type="dxa"/>
              <w:bottom w:w="45" w:type="dxa"/>
              <w:right w:w="45" w:type="dxa"/>
            </w:tcMar>
            <w:hideMark/>
          </w:tcPr>
          <w:p w14:paraId="2AD03FCA"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price that would be received to sell an asset or paid to transfer a liability in an orderly transaction between market participants at the measurement date. </w:t>
            </w:r>
          </w:p>
        </w:tc>
      </w:tr>
      <w:tr w:rsidR="00373D98" w:rsidRPr="00373D98" w14:paraId="2288F0AB" w14:textId="77777777">
        <w:tc>
          <w:tcPr>
            <w:tcW w:w="0" w:type="auto"/>
            <w:shd w:val="clear" w:color="auto" w:fill="FFFFFF"/>
            <w:tcMar>
              <w:top w:w="45" w:type="dxa"/>
              <w:left w:w="45" w:type="dxa"/>
              <w:bottom w:w="45" w:type="dxa"/>
              <w:right w:w="45" w:type="dxa"/>
            </w:tcMar>
            <w:hideMark/>
          </w:tcPr>
          <w:p w14:paraId="39EE7DF4"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highest and best use</w:t>
            </w:r>
          </w:p>
        </w:tc>
        <w:tc>
          <w:tcPr>
            <w:tcW w:w="0" w:type="auto"/>
            <w:shd w:val="clear" w:color="auto" w:fill="FFFFFF"/>
            <w:tcMar>
              <w:top w:w="45" w:type="dxa"/>
              <w:left w:w="45" w:type="dxa"/>
              <w:bottom w:w="45" w:type="dxa"/>
              <w:right w:w="45" w:type="dxa"/>
            </w:tcMar>
            <w:hideMark/>
          </w:tcPr>
          <w:p w14:paraId="0D62CE17"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use of a non</w:t>
            </w:r>
            <w:r w:rsidRPr="00373D98">
              <w:rPr>
                <w:rFonts w:asciiTheme="majorHAnsi" w:hAnsiTheme="majorHAnsi" w:cstheme="majorHAnsi"/>
                <w:color w:val="000000"/>
              </w:rPr>
              <w:noBreakHyphen/>
              <w:t xml:space="preserve">financial asset by market participants that would </w:t>
            </w:r>
            <w:proofErr w:type="spellStart"/>
            <w:r w:rsidRPr="00373D98">
              <w:rPr>
                <w:rFonts w:asciiTheme="majorHAnsi" w:hAnsiTheme="majorHAnsi" w:cstheme="majorHAnsi"/>
                <w:color w:val="000000"/>
              </w:rPr>
              <w:t>maximise</w:t>
            </w:r>
            <w:proofErr w:type="spellEnd"/>
            <w:r w:rsidRPr="00373D98">
              <w:rPr>
                <w:rFonts w:asciiTheme="majorHAnsi" w:hAnsiTheme="majorHAnsi" w:cstheme="majorHAnsi"/>
                <w:color w:val="000000"/>
              </w:rPr>
              <w:t xml:space="preserve"> the value of the asset or the group of assets and liabilities (</w:t>
            </w:r>
            <w:proofErr w:type="spellStart"/>
            <w:r w:rsidRPr="00373D98">
              <w:rPr>
                <w:rFonts w:asciiTheme="majorHAnsi" w:hAnsiTheme="majorHAnsi" w:cstheme="majorHAnsi"/>
                <w:color w:val="000000"/>
              </w:rPr>
              <w:t>eg</w:t>
            </w:r>
            <w:proofErr w:type="spellEnd"/>
            <w:r w:rsidRPr="00373D98">
              <w:rPr>
                <w:rFonts w:asciiTheme="majorHAnsi" w:hAnsiTheme="majorHAnsi" w:cstheme="majorHAnsi"/>
                <w:color w:val="000000"/>
              </w:rPr>
              <w:t xml:space="preserve"> a business) within which the asset would be used. </w:t>
            </w:r>
          </w:p>
        </w:tc>
      </w:tr>
      <w:tr w:rsidR="00373D98" w:rsidRPr="00373D98" w14:paraId="28BCE08D" w14:textId="77777777">
        <w:tc>
          <w:tcPr>
            <w:tcW w:w="0" w:type="auto"/>
            <w:shd w:val="clear" w:color="auto" w:fill="FFFFFF"/>
            <w:tcMar>
              <w:top w:w="45" w:type="dxa"/>
              <w:left w:w="45" w:type="dxa"/>
              <w:bottom w:w="45" w:type="dxa"/>
              <w:right w:w="45" w:type="dxa"/>
            </w:tcMar>
            <w:hideMark/>
          </w:tcPr>
          <w:p w14:paraId="7A859F51"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income approach</w:t>
            </w:r>
          </w:p>
        </w:tc>
        <w:tc>
          <w:tcPr>
            <w:tcW w:w="0" w:type="auto"/>
            <w:shd w:val="clear" w:color="auto" w:fill="FFFFFF"/>
            <w:tcMar>
              <w:top w:w="45" w:type="dxa"/>
              <w:left w:w="45" w:type="dxa"/>
              <w:bottom w:w="45" w:type="dxa"/>
              <w:right w:w="45" w:type="dxa"/>
            </w:tcMar>
            <w:hideMark/>
          </w:tcPr>
          <w:p w14:paraId="733DE667"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Valuation techniques that convert future amounts (</w:t>
            </w:r>
            <w:proofErr w:type="spellStart"/>
            <w:r w:rsidRPr="00373D98">
              <w:rPr>
                <w:rFonts w:asciiTheme="majorHAnsi" w:hAnsiTheme="majorHAnsi" w:cstheme="majorHAnsi"/>
                <w:color w:val="000000"/>
              </w:rPr>
              <w:t>eg</w:t>
            </w:r>
            <w:proofErr w:type="spellEnd"/>
            <w:r w:rsidRPr="00373D98">
              <w:rPr>
                <w:rFonts w:asciiTheme="majorHAnsi" w:hAnsiTheme="majorHAnsi" w:cstheme="majorHAnsi"/>
                <w:color w:val="000000"/>
              </w:rPr>
              <w:t xml:space="preserve"> cash flows or income and expenses) to a single current (</w:t>
            </w:r>
            <w:proofErr w:type="spellStart"/>
            <w:r w:rsidRPr="00373D98">
              <w:rPr>
                <w:rFonts w:asciiTheme="majorHAnsi" w:hAnsiTheme="majorHAnsi" w:cstheme="majorHAnsi"/>
                <w:color w:val="000000"/>
              </w:rPr>
              <w:t>ie</w:t>
            </w:r>
            <w:proofErr w:type="spellEnd"/>
            <w:r w:rsidRPr="00373D98">
              <w:rPr>
                <w:rFonts w:asciiTheme="majorHAnsi" w:hAnsiTheme="majorHAnsi" w:cstheme="majorHAnsi"/>
                <w:color w:val="000000"/>
              </w:rPr>
              <w:t xml:space="preserve"> discounted) amount. The fair value measurement is determined on the basis of the value indicated by current market expectations about those future amounts. </w:t>
            </w:r>
          </w:p>
        </w:tc>
      </w:tr>
      <w:tr w:rsidR="00373D98" w:rsidRPr="00373D98" w14:paraId="6F7FA427" w14:textId="77777777">
        <w:tc>
          <w:tcPr>
            <w:tcW w:w="0" w:type="auto"/>
            <w:shd w:val="clear" w:color="auto" w:fill="FFFFFF"/>
            <w:tcMar>
              <w:top w:w="45" w:type="dxa"/>
              <w:left w:w="45" w:type="dxa"/>
              <w:bottom w:w="45" w:type="dxa"/>
              <w:right w:w="45" w:type="dxa"/>
            </w:tcMar>
            <w:hideMark/>
          </w:tcPr>
          <w:p w14:paraId="70FF40AF" w14:textId="5009ACC9" w:rsidR="00373D98" w:rsidRPr="00373D98" w:rsidRDefault="00E463A3">
            <w:pPr>
              <w:ind w:left="360"/>
              <w:jc w:val="both"/>
              <w:rPr>
                <w:rFonts w:asciiTheme="majorHAnsi" w:hAnsiTheme="majorHAnsi" w:cstheme="majorHAnsi"/>
                <w:color w:val="000000"/>
              </w:rPr>
            </w:pPr>
            <w:r w:rsidRPr="00373D98">
              <w:rPr>
                <w:rFonts w:asciiTheme="majorHAnsi" w:hAnsiTheme="majorHAnsi" w:cstheme="majorHAnsi"/>
                <w:b/>
                <w:bCs/>
                <w:color w:val="000000"/>
              </w:rPr>
              <w:lastRenderedPageBreak/>
              <w:t>I</w:t>
            </w:r>
            <w:r w:rsidR="00373D98" w:rsidRPr="00373D98">
              <w:rPr>
                <w:rFonts w:asciiTheme="majorHAnsi" w:hAnsiTheme="majorHAnsi" w:cstheme="majorHAnsi"/>
                <w:b/>
                <w:bCs/>
                <w:color w:val="000000"/>
              </w:rPr>
              <w:t>nputs</w:t>
            </w:r>
          </w:p>
        </w:tc>
        <w:tc>
          <w:tcPr>
            <w:tcW w:w="0" w:type="auto"/>
            <w:shd w:val="clear" w:color="auto" w:fill="FFFFFF"/>
            <w:tcMar>
              <w:top w:w="45" w:type="dxa"/>
              <w:left w:w="45" w:type="dxa"/>
              <w:bottom w:w="45" w:type="dxa"/>
              <w:right w:w="45" w:type="dxa"/>
            </w:tcMar>
            <w:hideMark/>
          </w:tcPr>
          <w:p w14:paraId="0B617403"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assumptions that market participants would use when pricing the asset or liability, including assumptions about risk, such as the following:</w:t>
            </w:r>
          </w:p>
          <w:p w14:paraId="34AC4313" w14:textId="77777777" w:rsidR="00373D98" w:rsidRPr="00373D98" w:rsidRDefault="00373D98" w:rsidP="00373D98">
            <w:pPr>
              <w:numPr>
                <w:ilvl w:val="0"/>
                <w:numId w:val="71"/>
              </w:numPr>
              <w:spacing w:after="160" w:line="278" w:lineRule="auto"/>
              <w:ind w:left="360" w:firstLine="29"/>
              <w:jc w:val="both"/>
              <w:rPr>
                <w:rFonts w:asciiTheme="majorHAnsi" w:hAnsiTheme="majorHAnsi" w:cstheme="majorHAnsi"/>
                <w:color w:val="000000"/>
              </w:rPr>
            </w:pPr>
            <w:r w:rsidRPr="00373D98">
              <w:rPr>
                <w:rFonts w:asciiTheme="majorHAnsi" w:hAnsiTheme="majorHAnsi" w:cstheme="majorHAnsi"/>
                <w:color w:val="000000"/>
              </w:rPr>
              <w:t>the risk inherent in a particular valuation technique used to measure fair value (such as a pricing model); and</w:t>
            </w:r>
          </w:p>
          <w:p w14:paraId="4F95FB48"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2. the risk inherent in the inputs to the valuation technique.</w:t>
            </w:r>
          </w:p>
          <w:p w14:paraId="47D5C8A8"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Inputs may be observable or unobservable.</w:t>
            </w:r>
          </w:p>
        </w:tc>
      </w:tr>
      <w:tr w:rsidR="00373D98" w:rsidRPr="00373D98" w14:paraId="0278F0D6" w14:textId="77777777">
        <w:tc>
          <w:tcPr>
            <w:tcW w:w="0" w:type="auto"/>
            <w:shd w:val="clear" w:color="auto" w:fill="FFFFFF"/>
            <w:tcMar>
              <w:top w:w="45" w:type="dxa"/>
              <w:left w:w="45" w:type="dxa"/>
              <w:bottom w:w="45" w:type="dxa"/>
              <w:right w:w="45" w:type="dxa"/>
            </w:tcMar>
            <w:hideMark/>
          </w:tcPr>
          <w:p w14:paraId="0EC9652E"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Level 1 inputs</w:t>
            </w:r>
          </w:p>
        </w:tc>
        <w:tc>
          <w:tcPr>
            <w:tcW w:w="0" w:type="auto"/>
            <w:shd w:val="clear" w:color="auto" w:fill="FFFFFF"/>
            <w:tcMar>
              <w:top w:w="45" w:type="dxa"/>
              <w:left w:w="45" w:type="dxa"/>
              <w:bottom w:w="45" w:type="dxa"/>
              <w:right w:w="45" w:type="dxa"/>
            </w:tcMar>
            <w:hideMark/>
          </w:tcPr>
          <w:p w14:paraId="5F3B56AC"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Quoted prices (unadjusted) in active markets for identical assets or liabilities that the entity can access at the measurement date.</w:t>
            </w:r>
          </w:p>
        </w:tc>
      </w:tr>
      <w:tr w:rsidR="00373D98" w:rsidRPr="00373D98" w14:paraId="2144E462" w14:textId="77777777">
        <w:tc>
          <w:tcPr>
            <w:tcW w:w="0" w:type="auto"/>
            <w:shd w:val="clear" w:color="auto" w:fill="FFFFFF"/>
            <w:tcMar>
              <w:top w:w="45" w:type="dxa"/>
              <w:left w:w="45" w:type="dxa"/>
              <w:bottom w:w="45" w:type="dxa"/>
              <w:right w:w="45" w:type="dxa"/>
            </w:tcMar>
            <w:hideMark/>
          </w:tcPr>
          <w:p w14:paraId="74BBE7E1"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Level 2 inputs</w:t>
            </w:r>
          </w:p>
        </w:tc>
        <w:tc>
          <w:tcPr>
            <w:tcW w:w="0" w:type="auto"/>
            <w:shd w:val="clear" w:color="auto" w:fill="FFFFFF"/>
            <w:tcMar>
              <w:top w:w="45" w:type="dxa"/>
              <w:left w:w="45" w:type="dxa"/>
              <w:bottom w:w="45" w:type="dxa"/>
              <w:right w:w="45" w:type="dxa"/>
            </w:tcMar>
            <w:hideMark/>
          </w:tcPr>
          <w:p w14:paraId="67BB8E09"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Inputs other than quoted prices included within Level 1 that are observable for the asset or liability, either directly or indirectly. </w:t>
            </w:r>
          </w:p>
        </w:tc>
      </w:tr>
      <w:tr w:rsidR="00373D98" w:rsidRPr="00373D98" w14:paraId="7C391307" w14:textId="77777777">
        <w:tc>
          <w:tcPr>
            <w:tcW w:w="0" w:type="auto"/>
            <w:shd w:val="clear" w:color="auto" w:fill="FFFFFF"/>
            <w:tcMar>
              <w:top w:w="45" w:type="dxa"/>
              <w:left w:w="45" w:type="dxa"/>
              <w:bottom w:w="45" w:type="dxa"/>
              <w:right w:w="45" w:type="dxa"/>
            </w:tcMar>
            <w:hideMark/>
          </w:tcPr>
          <w:p w14:paraId="6AFA59C4"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Level 3 inputs</w:t>
            </w:r>
          </w:p>
        </w:tc>
        <w:tc>
          <w:tcPr>
            <w:tcW w:w="0" w:type="auto"/>
            <w:shd w:val="clear" w:color="auto" w:fill="FFFFFF"/>
            <w:tcMar>
              <w:top w:w="45" w:type="dxa"/>
              <w:left w:w="45" w:type="dxa"/>
              <w:bottom w:w="45" w:type="dxa"/>
              <w:right w:w="45" w:type="dxa"/>
            </w:tcMar>
            <w:hideMark/>
          </w:tcPr>
          <w:p w14:paraId="2152B010"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Unobservable inputs for the asset or liability.</w:t>
            </w:r>
          </w:p>
        </w:tc>
      </w:tr>
      <w:tr w:rsidR="00373D98" w:rsidRPr="00373D98" w14:paraId="1F4AF468" w14:textId="77777777">
        <w:tc>
          <w:tcPr>
            <w:tcW w:w="0" w:type="auto"/>
            <w:shd w:val="clear" w:color="auto" w:fill="FFFFFF"/>
            <w:tcMar>
              <w:top w:w="45" w:type="dxa"/>
              <w:left w:w="45" w:type="dxa"/>
              <w:bottom w:w="45" w:type="dxa"/>
              <w:right w:w="45" w:type="dxa"/>
            </w:tcMar>
            <w:hideMark/>
          </w:tcPr>
          <w:p w14:paraId="349BDCBE"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market approach</w:t>
            </w:r>
          </w:p>
        </w:tc>
        <w:tc>
          <w:tcPr>
            <w:tcW w:w="0" w:type="auto"/>
            <w:shd w:val="clear" w:color="auto" w:fill="FFFFFF"/>
            <w:tcMar>
              <w:top w:w="45" w:type="dxa"/>
              <w:left w:w="45" w:type="dxa"/>
              <w:bottom w:w="45" w:type="dxa"/>
              <w:right w:w="45" w:type="dxa"/>
            </w:tcMar>
            <w:hideMark/>
          </w:tcPr>
          <w:p w14:paraId="5A703FC3"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A valuation technique that uses prices and other relevant information generated by market transactions involving identical or comparable (</w:t>
            </w:r>
            <w:proofErr w:type="spellStart"/>
            <w:r w:rsidRPr="00373D98">
              <w:rPr>
                <w:rFonts w:asciiTheme="majorHAnsi" w:hAnsiTheme="majorHAnsi" w:cstheme="majorHAnsi"/>
                <w:color w:val="000000"/>
              </w:rPr>
              <w:t>ie</w:t>
            </w:r>
            <w:proofErr w:type="spellEnd"/>
            <w:r w:rsidRPr="00373D98">
              <w:rPr>
                <w:rFonts w:asciiTheme="majorHAnsi" w:hAnsiTheme="majorHAnsi" w:cstheme="majorHAnsi"/>
                <w:color w:val="000000"/>
              </w:rPr>
              <w:t xml:space="preserve"> similar) assets, liabilities or a group of assets and liabilities, such as a business. </w:t>
            </w:r>
          </w:p>
        </w:tc>
      </w:tr>
      <w:tr w:rsidR="00373D98" w:rsidRPr="00373D98" w14:paraId="70ECA48D" w14:textId="77777777">
        <w:tc>
          <w:tcPr>
            <w:tcW w:w="0" w:type="auto"/>
            <w:shd w:val="clear" w:color="auto" w:fill="FFFFFF"/>
            <w:tcMar>
              <w:top w:w="45" w:type="dxa"/>
              <w:left w:w="45" w:type="dxa"/>
              <w:bottom w:w="45" w:type="dxa"/>
              <w:right w:w="45" w:type="dxa"/>
            </w:tcMar>
            <w:hideMark/>
          </w:tcPr>
          <w:p w14:paraId="198F0816"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market</w:t>
            </w:r>
            <w:r w:rsidRPr="00373D98">
              <w:rPr>
                <w:rFonts w:asciiTheme="majorHAnsi" w:hAnsiTheme="majorHAnsi" w:cstheme="majorHAnsi"/>
                <w:b/>
                <w:bCs/>
                <w:color w:val="000000"/>
              </w:rPr>
              <w:noBreakHyphen/>
              <w:t>corroborated inputs</w:t>
            </w:r>
          </w:p>
        </w:tc>
        <w:tc>
          <w:tcPr>
            <w:tcW w:w="0" w:type="auto"/>
            <w:shd w:val="clear" w:color="auto" w:fill="FFFFFF"/>
            <w:tcMar>
              <w:top w:w="45" w:type="dxa"/>
              <w:left w:w="45" w:type="dxa"/>
              <w:bottom w:w="45" w:type="dxa"/>
              <w:right w:w="45" w:type="dxa"/>
            </w:tcMar>
            <w:hideMark/>
          </w:tcPr>
          <w:p w14:paraId="1F35E05A"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Inputs that are derived principally from or corroborated by observable market data by correlation or other means. </w:t>
            </w:r>
          </w:p>
        </w:tc>
      </w:tr>
      <w:tr w:rsidR="00373D98" w:rsidRPr="00373D98" w14:paraId="1149D5EA" w14:textId="77777777">
        <w:tc>
          <w:tcPr>
            <w:tcW w:w="0" w:type="auto"/>
            <w:shd w:val="clear" w:color="auto" w:fill="FFFFFF"/>
            <w:tcMar>
              <w:top w:w="45" w:type="dxa"/>
              <w:left w:w="45" w:type="dxa"/>
              <w:bottom w:w="45" w:type="dxa"/>
              <w:right w:w="45" w:type="dxa"/>
            </w:tcMar>
            <w:hideMark/>
          </w:tcPr>
          <w:p w14:paraId="4171967B"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market participant</w:t>
            </w:r>
          </w:p>
        </w:tc>
        <w:tc>
          <w:tcPr>
            <w:tcW w:w="0" w:type="auto"/>
            <w:shd w:val="clear" w:color="auto" w:fill="FFFFFF"/>
            <w:tcMar>
              <w:top w:w="45" w:type="dxa"/>
              <w:left w:w="45" w:type="dxa"/>
              <w:bottom w:w="45" w:type="dxa"/>
              <w:right w:w="45" w:type="dxa"/>
            </w:tcMar>
            <w:hideMark/>
          </w:tcPr>
          <w:p w14:paraId="3DA6BDD5"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Buyers and sellers in the principal (or most advantageous) market for the asset or liability that have all of the following characteristics: </w:t>
            </w:r>
          </w:p>
          <w:p w14:paraId="40CD635B" w14:textId="77777777" w:rsidR="00373D98" w:rsidRPr="00373D98" w:rsidRDefault="00373D98" w:rsidP="00373D98">
            <w:pPr>
              <w:pStyle w:val="ListParagraph"/>
              <w:numPr>
                <w:ilvl w:val="0"/>
                <w:numId w:val="72"/>
              </w:numPr>
              <w:spacing w:after="160" w:line="278" w:lineRule="auto"/>
              <w:jc w:val="both"/>
              <w:rPr>
                <w:rFonts w:asciiTheme="majorHAnsi" w:hAnsiTheme="majorHAnsi" w:cstheme="majorHAnsi"/>
                <w:color w:val="000000"/>
              </w:rPr>
            </w:pPr>
            <w:r w:rsidRPr="00373D98">
              <w:rPr>
                <w:rFonts w:asciiTheme="majorHAnsi" w:hAnsiTheme="majorHAnsi" w:cstheme="majorHAnsi"/>
                <w:color w:val="000000"/>
              </w:rPr>
              <w:t xml:space="preserve">They are independent  of each other, </w:t>
            </w:r>
            <w:proofErr w:type="spellStart"/>
            <w:r w:rsidRPr="00373D98">
              <w:rPr>
                <w:rFonts w:asciiTheme="majorHAnsi" w:hAnsiTheme="majorHAnsi" w:cstheme="majorHAnsi"/>
                <w:color w:val="000000"/>
              </w:rPr>
              <w:t>ie</w:t>
            </w:r>
            <w:proofErr w:type="spellEnd"/>
            <w:r w:rsidRPr="00373D98">
              <w:rPr>
                <w:rFonts w:asciiTheme="majorHAnsi" w:hAnsiTheme="majorHAnsi" w:cstheme="majorHAnsi"/>
                <w:color w:val="000000"/>
              </w:rPr>
              <w:t xml:space="preserve"> they are not related parties as defined in </w:t>
            </w:r>
            <w:hyperlink r:id="rId12" w:anchor="document/522092?pref=20023/9/133&amp;crumb=105/1490115" w:history="1">
              <w:r w:rsidRPr="00373D98">
                <w:rPr>
                  <w:rStyle w:val="Hyperlink"/>
                  <w:rFonts w:asciiTheme="majorHAnsi" w:hAnsiTheme="majorHAnsi" w:cstheme="majorHAnsi"/>
                </w:rPr>
                <w:t>IAS 24</w:t>
              </w:r>
            </w:hyperlink>
            <w:r w:rsidRPr="00373D98">
              <w:rPr>
                <w:rFonts w:asciiTheme="majorHAnsi" w:hAnsiTheme="majorHAnsi" w:cstheme="majorHAnsi"/>
                <w:color w:val="000000"/>
              </w:rPr>
              <w:t>, although the price in a related party transaction may be used as an input to a fair value measurement if the entity has evidence that the transaction was entered into at market terms.</w:t>
            </w:r>
          </w:p>
          <w:p w14:paraId="22695EC5" w14:textId="77777777" w:rsidR="00373D98" w:rsidRPr="00373D98" w:rsidRDefault="00373D98" w:rsidP="00373D98">
            <w:pPr>
              <w:pStyle w:val="ListParagraph"/>
              <w:numPr>
                <w:ilvl w:val="0"/>
                <w:numId w:val="72"/>
              </w:numPr>
              <w:spacing w:after="160" w:line="278" w:lineRule="auto"/>
              <w:jc w:val="both"/>
              <w:rPr>
                <w:rFonts w:asciiTheme="majorHAnsi" w:hAnsiTheme="majorHAnsi" w:cstheme="majorHAnsi"/>
                <w:color w:val="000000"/>
              </w:rPr>
            </w:pPr>
            <w:r w:rsidRPr="00373D98">
              <w:rPr>
                <w:rFonts w:asciiTheme="majorHAnsi" w:hAnsiTheme="majorHAnsi" w:cstheme="majorHAnsi"/>
                <w:color w:val="000000"/>
              </w:rPr>
              <w:t>They are knowledgeable, having a reasonable understanding about the asset or liability and the transaction using all available information, including information that might be obtained through due diligence efforts that are usual and customary.</w:t>
            </w:r>
          </w:p>
          <w:p w14:paraId="3F6574B2" w14:textId="3E4F9447" w:rsidR="00373D98" w:rsidRPr="00373D98" w:rsidRDefault="00373D98" w:rsidP="00373D98">
            <w:pPr>
              <w:numPr>
                <w:ilvl w:val="0"/>
                <w:numId w:val="72"/>
              </w:numPr>
              <w:spacing w:after="160" w:line="278" w:lineRule="auto"/>
              <w:ind w:left="748"/>
              <w:jc w:val="both"/>
              <w:rPr>
                <w:rFonts w:asciiTheme="majorHAnsi" w:hAnsiTheme="majorHAnsi" w:cstheme="majorHAnsi"/>
                <w:color w:val="000000"/>
              </w:rPr>
            </w:pPr>
            <w:r w:rsidRPr="00373D98">
              <w:rPr>
                <w:rFonts w:asciiTheme="majorHAnsi" w:hAnsiTheme="majorHAnsi" w:cstheme="majorHAnsi"/>
                <w:color w:val="000000"/>
              </w:rPr>
              <w:lastRenderedPageBreak/>
              <w:t>They are able to enter into a transaction for the asset or</w:t>
            </w:r>
            <w:r>
              <w:rPr>
                <w:rFonts w:asciiTheme="majorHAnsi" w:hAnsiTheme="majorHAnsi" w:cstheme="majorHAnsi"/>
                <w:color w:val="000000"/>
              </w:rPr>
              <w:t xml:space="preserve"> </w:t>
            </w:r>
            <w:r w:rsidRPr="00373D98">
              <w:rPr>
                <w:rFonts w:asciiTheme="majorHAnsi" w:hAnsiTheme="majorHAnsi" w:cstheme="majorHAnsi"/>
                <w:color w:val="000000"/>
              </w:rPr>
              <w:t>liability. </w:t>
            </w:r>
          </w:p>
          <w:p w14:paraId="323AB54B" w14:textId="77777777" w:rsidR="00373D98" w:rsidRPr="00373D98" w:rsidRDefault="00373D98" w:rsidP="00373D98">
            <w:pPr>
              <w:pStyle w:val="ListParagraph"/>
              <w:numPr>
                <w:ilvl w:val="0"/>
                <w:numId w:val="72"/>
              </w:numPr>
              <w:spacing w:after="160" w:line="278" w:lineRule="auto"/>
              <w:jc w:val="both"/>
              <w:rPr>
                <w:rFonts w:asciiTheme="majorHAnsi" w:hAnsiTheme="majorHAnsi" w:cstheme="majorHAnsi"/>
                <w:color w:val="000000"/>
              </w:rPr>
            </w:pPr>
            <w:r w:rsidRPr="00373D98">
              <w:rPr>
                <w:rFonts w:asciiTheme="majorHAnsi" w:hAnsiTheme="majorHAnsi" w:cstheme="majorHAnsi"/>
                <w:color w:val="000000"/>
              </w:rPr>
              <w:t xml:space="preserve">They are willing to enter into a transaction for the asset or liability, </w:t>
            </w:r>
            <w:proofErr w:type="spellStart"/>
            <w:r w:rsidRPr="00373D98">
              <w:rPr>
                <w:rFonts w:asciiTheme="majorHAnsi" w:hAnsiTheme="majorHAnsi" w:cstheme="majorHAnsi"/>
                <w:color w:val="000000"/>
              </w:rPr>
              <w:t>ie</w:t>
            </w:r>
            <w:proofErr w:type="spellEnd"/>
            <w:r w:rsidRPr="00373D98">
              <w:rPr>
                <w:rFonts w:asciiTheme="majorHAnsi" w:hAnsiTheme="majorHAnsi" w:cstheme="majorHAnsi"/>
                <w:color w:val="000000"/>
              </w:rPr>
              <w:t xml:space="preserve"> they are motivated but not forced or otherwise compelled to do so.</w:t>
            </w:r>
          </w:p>
        </w:tc>
      </w:tr>
      <w:tr w:rsidR="00373D98" w:rsidRPr="00373D98" w14:paraId="1FEC8E27" w14:textId="77777777">
        <w:tc>
          <w:tcPr>
            <w:tcW w:w="0" w:type="auto"/>
            <w:shd w:val="clear" w:color="auto" w:fill="FFFFFF"/>
            <w:tcMar>
              <w:top w:w="45" w:type="dxa"/>
              <w:left w:w="45" w:type="dxa"/>
              <w:bottom w:w="45" w:type="dxa"/>
              <w:right w:w="45" w:type="dxa"/>
            </w:tcMar>
            <w:hideMark/>
          </w:tcPr>
          <w:p w14:paraId="58A0396A"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lastRenderedPageBreak/>
              <w:t>most advantageous market</w:t>
            </w:r>
          </w:p>
        </w:tc>
        <w:tc>
          <w:tcPr>
            <w:tcW w:w="0" w:type="auto"/>
            <w:shd w:val="clear" w:color="auto" w:fill="FFFFFF"/>
            <w:tcMar>
              <w:top w:w="45" w:type="dxa"/>
              <w:left w:w="45" w:type="dxa"/>
              <w:bottom w:w="45" w:type="dxa"/>
              <w:right w:w="45" w:type="dxa"/>
            </w:tcMar>
            <w:hideMark/>
          </w:tcPr>
          <w:p w14:paraId="15C77552"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 xml:space="preserve">The market that </w:t>
            </w:r>
            <w:proofErr w:type="spellStart"/>
            <w:r w:rsidRPr="00373D98">
              <w:rPr>
                <w:rFonts w:asciiTheme="majorHAnsi" w:hAnsiTheme="majorHAnsi" w:cstheme="majorHAnsi"/>
                <w:color w:val="000000"/>
              </w:rPr>
              <w:t>maximises</w:t>
            </w:r>
            <w:proofErr w:type="spellEnd"/>
            <w:r w:rsidRPr="00373D98">
              <w:rPr>
                <w:rFonts w:asciiTheme="majorHAnsi" w:hAnsiTheme="majorHAnsi" w:cstheme="majorHAnsi"/>
                <w:color w:val="000000"/>
              </w:rPr>
              <w:t xml:space="preserve"> the amount that would be received to sell the asset or </w:t>
            </w:r>
            <w:proofErr w:type="spellStart"/>
            <w:r w:rsidRPr="00373D98">
              <w:rPr>
                <w:rFonts w:asciiTheme="majorHAnsi" w:hAnsiTheme="majorHAnsi" w:cstheme="majorHAnsi"/>
                <w:color w:val="000000"/>
              </w:rPr>
              <w:t>minimises</w:t>
            </w:r>
            <w:proofErr w:type="spellEnd"/>
            <w:r w:rsidRPr="00373D98">
              <w:rPr>
                <w:rFonts w:asciiTheme="majorHAnsi" w:hAnsiTheme="majorHAnsi" w:cstheme="majorHAnsi"/>
                <w:color w:val="000000"/>
              </w:rPr>
              <w:t xml:space="preserve"> the amount that would be paid to transfer the liability, after taking into account transaction costs and transport costs. </w:t>
            </w:r>
          </w:p>
        </w:tc>
      </w:tr>
      <w:tr w:rsidR="00373D98" w:rsidRPr="00373D98" w14:paraId="35AF3DEA" w14:textId="77777777">
        <w:tc>
          <w:tcPr>
            <w:tcW w:w="0" w:type="auto"/>
            <w:shd w:val="clear" w:color="auto" w:fill="FFFFFF"/>
            <w:tcMar>
              <w:top w:w="45" w:type="dxa"/>
              <w:left w:w="45" w:type="dxa"/>
              <w:bottom w:w="45" w:type="dxa"/>
              <w:right w:w="45" w:type="dxa"/>
            </w:tcMar>
            <w:hideMark/>
          </w:tcPr>
          <w:p w14:paraId="51162CF5"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non-performance risk</w:t>
            </w:r>
          </w:p>
        </w:tc>
        <w:tc>
          <w:tcPr>
            <w:tcW w:w="0" w:type="auto"/>
            <w:shd w:val="clear" w:color="auto" w:fill="FFFFFF"/>
            <w:tcMar>
              <w:top w:w="45" w:type="dxa"/>
              <w:left w:w="45" w:type="dxa"/>
              <w:bottom w:w="45" w:type="dxa"/>
              <w:right w:w="45" w:type="dxa"/>
            </w:tcMar>
            <w:hideMark/>
          </w:tcPr>
          <w:p w14:paraId="5AC79515"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risk that an entity will not fulfil an obligation. Non</w:t>
            </w:r>
            <w:r w:rsidRPr="00373D98">
              <w:rPr>
                <w:rFonts w:asciiTheme="majorHAnsi" w:hAnsiTheme="majorHAnsi" w:cstheme="majorHAnsi"/>
                <w:color w:val="000000"/>
              </w:rPr>
              <w:noBreakHyphen/>
              <w:t>performance risk includes, but may not be limited to, the entity’s own credit risk. </w:t>
            </w:r>
          </w:p>
        </w:tc>
      </w:tr>
      <w:tr w:rsidR="00373D98" w:rsidRPr="00373D98" w14:paraId="2705BDA2" w14:textId="77777777">
        <w:tc>
          <w:tcPr>
            <w:tcW w:w="0" w:type="auto"/>
            <w:shd w:val="clear" w:color="auto" w:fill="FFFFFF"/>
            <w:tcMar>
              <w:top w:w="45" w:type="dxa"/>
              <w:left w:w="45" w:type="dxa"/>
              <w:bottom w:w="45" w:type="dxa"/>
              <w:right w:w="45" w:type="dxa"/>
            </w:tcMar>
            <w:hideMark/>
          </w:tcPr>
          <w:p w14:paraId="1EE71A71"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observable inputs</w:t>
            </w:r>
          </w:p>
        </w:tc>
        <w:tc>
          <w:tcPr>
            <w:tcW w:w="0" w:type="auto"/>
            <w:shd w:val="clear" w:color="auto" w:fill="FFFFFF"/>
            <w:tcMar>
              <w:top w:w="45" w:type="dxa"/>
              <w:left w:w="45" w:type="dxa"/>
              <w:bottom w:w="45" w:type="dxa"/>
              <w:right w:w="45" w:type="dxa"/>
            </w:tcMar>
            <w:hideMark/>
          </w:tcPr>
          <w:p w14:paraId="22EE3220"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Inputs that are developed using market data, such as publicly available information about actual events or transactions, and that reflect the assumptions that market participants would use when pricing the asset or liability.</w:t>
            </w:r>
          </w:p>
        </w:tc>
      </w:tr>
      <w:tr w:rsidR="00373D98" w:rsidRPr="00373D98" w14:paraId="2581B0AB" w14:textId="77777777">
        <w:tc>
          <w:tcPr>
            <w:tcW w:w="0" w:type="auto"/>
            <w:shd w:val="clear" w:color="auto" w:fill="FFFFFF"/>
            <w:tcMar>
              <w:top w:w="45" w:type="dxa"/>
              <w:left w:w="45" w:type="dxa"/>
              <w:bottom w:w="45" w:type="dxa"/>
              <w:right w:w="45" w:type="dxa"/>
            </w:tcMar>
            <w:hideMark/>
          </w:tcPr>
          <w:p w14:paraId="2248B8AF"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orderly transaction</w:t>
            </w:r>
          </w:p>
        </w:tc>
        <w:tc>
          <w:tcPr>
            <w:tcW w:w="0" w:type="auto"/>
            <w:shd w:val="clear" w:color="auto" w:fill="FFFFFF"/>
            <w:tcMar>
              <w:top w:w="45" w:type="dxa"/>
              <w:left w:w="45" w:type="dxa"/>
              <w:bottom w:w="45" w:type="dxa"/>
              <w:right w:w="45" w:type="dxa"/>
            </w:tcMar>
            <w:hideMark/>
          </w:tcPr>
          <w:p w14:paraId="5AE1DA54"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A transaction that assumes exposure to the market for a period before the measurement date to allow for marketing activities that are usual and customary for transactions involving such assets or liabilities; it is not a forced transaction (</w:t>
            </w:r>
            <w:proofErr w:type="spellStart"/>
            <w:r w:rsidRPr="00373D98">
              <w:rPr>
                <w:rFonts w:asciiTheme="majorHAnsi" w:hAnsiTheme="majorHAnsi" w:cstheme="majorHAnsi"/>
                <w:color w:val="000000"/>
              </w:rPr>
              <w:t>eg</w:t>
            </w:r>
            <w:proofErr w:type="spellEnd"/>
            <w:r w:rsidRPr="00373D98">
              <w:rPr>
                <w:rFonts w:asciiTheme="majorHAnsi" w:hAnsiTheme="majorHAnsi" w:cstheme="majorHAnsi"/>
                <w:color w:val="000000"/>
              </w:rPr>
              <w:t xml:space="preserve"> a forced liquidation or distress sale). </w:t>
            </w:r>
          </w:p>
        </w:tc>
      </w:tr>
      <w:tr w:rsidR="00373D98" w:rsidRPr="00373D98" w14:paraId="637D561B" w14:textId="77777777">
        <w:tc>
          <w:tcPr>
            <w:tcW w:w="0" w:type="auto"/>
            <w:shd w:val="clear" w:color="auto" w:fill="FFFFFF"/>
            <w:tcMar>
              <w:top w:w="45" w:type="dxa"/>
              <w:left w:w="45" w:type="dxa"/>
              <w:bottom w:w="45" w:type="dxa"/>
              <w:right w:w="45" w:type="dxa"/>
            </w:tcMar>
            <w:hideMark/>
          </w:tcPr>
          <w:p w14:paraId="7B635607"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principal market</w:t>
            </w:r>
          </w:p>
        </w:tc>
        <w:tc>
          <w:tcPr>
            <w:tcW w:w="0" w:type="auto"/>
            <w:shd w:val="clear" w:color="auto" w:fill="FFFFFF"/>
            <w:tcMar>
              <w:top w:w="45" w:type="dxa"/>
              <w:left w:w="45" w:type="dxa"/>
              <w:bottom w:w="45" w:type="dxa"/>
              <w:right w:w="45" w:type="dxa"/>
            </w:tcMar>
            <w:hideMark/>
          </w:tcPr>
          <w:p w14:paraId="2CE83671"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market with the greatest volume and level of activity for the asset or liability. </w:t>
            </w:r>
          </w:p>
        </w:tc>
      </w:tr>
      <w:tr w:rsidR="00373D98" w:rsidRPr="00373D98" w14:paraId="5B2830A2" w14:textId="77777777">
        <w:tc>
          <w:tcPr>
            <w:tcW w:w="0" w:type="auto"/>
            <w:shd w:val="clear" w:color="auto" w:fill="FFFFFF"/>
            <w:tcMar>
              <w:top w:w="45" w:type="dxa"/>
              <w:left w:w="45" w:type="dxa"/>
              <w:bottom w:w="45" w:type="dxa"/>
              <w:right w:w="45" w:type="dxa"/>
            </w:tcMar>
            <w:hideMark/>
          </w:tcPr>
          <w:p w14:paraId="5A5D2778"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risk premium</w:t>
            </w:r>
          </w:p>
        </w:tc>
        <w:tc>
          <w:tcPr>
            <w:tcW w:w="0" w:type="auto"/>
            <w:shd w:val="clear" w:color="auto" w:fill="FFFFFF"/>
            <w:tcMar>
              <w:top w:w="45" w:type="dxa"/>
              <w:left w:w="45" w:type="dxa"/>
              <w:bottom w:w="45" w:type="dxa"/>
              <w:right w:w="45" w:type="dxa"/>
            </w:tcMar>
            <w:hideMark/>
          </w:tcPr>
          <w:p w14:paraId="42C00262"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Compensation sought by risk</w:t>
            </w:r>
            <w:r w:rsidRPr="00373D98">
              <w:rPr>
                <w:rFonts w:asciiTheme="majorHAnsi" w:hAnsiTheme="majorHAnsi" w:cstheme="majorHAnsi"/>
                <w:color w:val="000000"/>
              </w:rPr>
              <w:noBreakHyphen/>
              <w:t>averse market participants for bearing the uncertainty inherent in the cash flows of an asset or a liability. Also referred to as a ‘risk adjustment’. </w:t>
            </w:r>
          </w:p>
        </w:tc>
      </w:tr>
      <w:tr w:rsidR="00373D98" w:rsidRPr="00373D98" w14:paraId="31EA0797" w14:textId="77777777">
        <w:tc>
          <w:tcPr>
            <w:tcW w:w="0" w:type="auto"/>
            <w:shd w:val="clear" w:color="auto" w:fill="FFFFFF"/>
            <w:tcMar>
              <w:top w:w="45" w:type="dxa"/>
              <w:left w:w="45" w:type="dxa"/>
              <w:bottom w:w="45" w:type="dxa"/>
              <w:right w:w="45" w:type="dxa"/>
            </w:tcMar>
            <w:hideMark/>
          </w:tcPr>
          <w:p w14:paraId="669682F2" w14:textId="3960546D" w:rsidR="00E463A3" w:rsidRDefault="00E463A3">
            <w:pPr>
              <w:ind w:left="360"/>
              <w:jc w:val="both"/>
              <w:rPr>
                <w:rFonts w:asciiTheme="majorHAnsi" w:hAnsiTheme="majorHAnsi" w:cstheme="majorHAnsi"/>
                <w:b/>
                <w:bCs/>
                <w:color w:val="000000"/>
              </w:rPr>
            </w:pPr>
            <w:r>
              <w:rPr>
                <w:rFonts w:asciiTheme="majorHAnsi" w:hAnsiTheme="majorHAnsi" w:cstheme="majorHAnsi"/>
                <w:b/>
                <w:bCs/>
                <w:color w:val="000000"/>
              </w:rPr>
              <w:t xml:space="preserve">terminal value </w:t>
            </w:r>
          </w:p>
          <w:p w14:paraId="16280342" w14:textId="77777777" w:rsidR="00E463A3" w:rsidRDefault="00E463A3">
            <w:pPr>
              <w:ind w:left="360"/>
              <w:jc w:val="both"/>
              <w:rPr>
                <w:rFonts w:asciiTheme="majorHAnsi" w:hAnsiTheme="majorHAnsi" w:cstheme="majorHAnsi"/>
                <w:b/>
                <w:bCs/>
                <w:color w:val="000000"/>
              </w:rPr>
            </w:pPr>
          </w:p>
          <w:p w14:paraId="2C47AB2A" w14:textId="77777777" w:rsidR="006010BD" w:rsidRPr="00A11090" w:rsidRDefault="006010BD">
            <w:pPr>
              <w:ind w:left="360"/>
              <w:jc w:val="both"/>
              <w:rPr>
                <w:rFonts w:asciiTheme="majorHAnsi" w:hAnsiTheme="majorHAnsi" w:cstheme="majorHAnsi"/>
                <w:b/>
                <w:bCs/>
                <w:color w:val="000000"/>
                <w:sz w:val="14"/>
                <w:szCs w:val="14"/>
              </w:rPr>
            </w:pPr>
          </w:p>
          <w:p w14:paraId="2FDE982F" w14:textId="41552513"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transaction costs</w:t>
            </w:r>
          </w:p>
        </w:tc>
        <w:tc>
          <w:tcPr>
            <w:tcW w:w="0" w:type="auto"/>
            <w:shd w:val="clear" w:color="auto" w:fill="FFFFFF"/>
            <w:tcMar>
              <w:top w:w="45" w:type="dxa"/>
              <w:left w:w="45" w:type="dxa"/>
              <w:bottom w:w="45" w:type="dxa"/>
              <w:right w:w="45" w:type="dxa"/>
            </w:tcMar>
            <w:hideMark/>
          </w:tcPr>
          <w:p w14:paraId="5E36A499" w14:textId="2C88B2F1" w:rsidR="00E463A3" w:rsidRDefault="006010BD">
            <w:pPr>
              <w:ind w:left="360"/>
              <w:jc w:val="both"/>
              <w:rPr>
                <w:rFonts w:asciiTheme="majorHAnsi" w:hAnsiTheme="majorHAnsi" w:cstheme="majorHAnsi"/>
                <w:color w:val="000000"/>
              </w:rPr>
            </w:pPr>
            <w:r>
              <w:rPr>
                <w:rFonts w:asciiTheme="majorHAnsi" w:hAnsiTheme="majorHAnsi" w:cstheme="majorHAnsi"/>
                <w:color w:val="000000"/>
              </w:rPr>
              <w:t>An estimate of the value of Economic Income of a business beyond the discrete forecast period in the Discounted Economic Income Method. Also known as residual value or continuing value.</w:t>
            </w:r>
          </w:p>
          <w:p w14:paraId="09811B0B" w14:textId="6B52AFFE"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 xml:space="preserve">The costs to sell an asset or transfer a liability in the principal (or most advantageous) market for the asset or liability that are </w:t>
            </w:r>
            <w:r w:rsidRPr="00373D98">
              <w:rPr>
                <w:rFonts w:asciiTheme="majorHAnsi" w:hAnsiTheme="majorHAnsi" w:cstheme="majorHAnsi"/>
                <w:color w:val="000000"/>
              </w:rPr>
              <w:lastRenderedPageBreak/>
              <w:t>directly attributable to the disposal of the asset or the transfer of the liability and meet both of the following criteria:</w:t>
            </w:r>
          </w:p>
          <w:p w14:paraId="38F731EA" w14:textId="77777777" w:rsidR="00373D98" w:rsidRPr="00373D98" w:rsidRDefault="00373D98" w:rsidP="00373D98">
            <w:pPr>
              <w:numPr>
                <w:ilvl w:val="0"/>
                <w:numId w:val="73"/>
              </w:numPr>
              <w:spacing w:after="160" w:line="278" w:lineRule="auto"/>
              <w:ind w:left="360" w:firstLine="19"/>
              <w:jc w:val="both"/>
              <w:rPr>
                <w:rFonts w:asciiTheme="majorHAnsi" w:hAnsiTheme="majorHAnsi" w:cstheme="majorHAnsi"/>
                <w:color w:val="000000"/>
              </w:rPr>
            </w:pPr>
            <w:r w:rsidRPr="00373D98">
              <w:rPr>
                <w:rFonts w:asciiTheme="majorHAnsi" w:hAnsiTheme="majorHAnsi" w:cstheme="majorHAnsi"/>
                <w:color w:val="000000"/>
              </w:rPr>
              <w:t>They result directly from and are essential to that transaction.</w:t>
            </w:r>
          </w:p>
          <w:p w14:paraId="7E42AB55" w14:textId="77777777" w:rsidR="00373D98" w:rsidRPr="00373D98" w:rsidRDefault="00373D98" w:rsidP="00373D98">
            <w:pPr>
              <w:pStyle w:val="ListParagraph"/>
              <w:numPr>
                <w:ilvl w:val="0"/>
                <w:numId w:val="73"/>
              </w:numPr>
              <w:spacing w:after="160" w:line="278" w:lineRule="auto"/>
              <w:jc w:val="both"/>
              <w:rPr>
                <w:rFonts w:asciiTheme="majorHAnsi" w:hAnsiTheme="majorHAnsi" w:cstheme="majorHAnsi"/>
                <w:color w:val="000000"/>
              </w:rPr>
            </w:pPr>
            <w:r w:rsidRPr="00373D98">
              <w:rPr>
                <w:rFonts w:asciiTheme="majorHAnsi" w:hAnsiTheme="majorHAnsi" w:cstheme="majorHAnsi"/>
                <w:color w:val="000000"/>
              </w:rPr>
              <w:t>They would not have been incurred by the entity had the decision to sell the asset or transfer the liability not been made (similar to costs to sell, as defined in </w:t>
            </w:r>
            <w:hyperlink r:id="rId13" w:anchor="document/522036?pref=20023/9/133&amp;crumb=105/1490115" w:history="1">
              <w:r w:rsidRPr="00373D98">
                <w:rPr>
                  <w:rStyle w:val="Hyperlink"/>
                  <w:rFonts w:asciiTheme="majorHAnsi" w:hAnsiTheme="majorHAnsi" w:cstheme="majorHAnsi"/>
                </w:rPr>
                <w:t>IFRS 5</w:t>
              </w:r>
            </w:hyperlink>
            <w:r w:rsidRPr="00373D98">
              <w:rPr>
                <w:rFonts w:asciiTheme="majorHAnsi" w:hAnsiTheme="majorHAnsi" w:cstheme="majorHAnsi"/>
                <w:color w:val="000000"/>
              </w:rPr>
              <w:t>).</w:t>
            </w:r>
          </w:p>
          <w:p w14:paraId="5EB3C71A" w14:textId="77777777" w:rsidR="00373D98" w:rsidRPr="00373D98" w:rsidRDefault="00373D98">
            <w:pPr>
              <w:ind w:left="360"/>
              <w:jc w:val="both"/>
              <w:rPr>
                <w:rFonts w:asciiTheme="majorHAnsi" w:hAnsiTheme="majorHAnsi" w:cstheme="majorHAnsi"/>
                <w:color w:val="000000"/>
              </w:rPr>
            </w:pPr>
          </w:p>
        </w:tc>
      </w:tr>
      <w:tr w:rsidR="00373D98" w:rsidRPr="00373D98" w14:paraId="17382FCE" w14:textId="77777777">
        <w:tc>
          <w:tcPr>
            <w:tcW w:w="0" w:type="auto"/>
            <w:shd w:val="clear" w:color="auto" w:fill="FFFFFF"/>
            <w:tcMar>
              <w:top w:w="45" w:type="dxa"/>
              <w:left w:w="45" w:type="dxa"/>
              <w:bottom w:w="45" w:type="dxa"/>
              <w:right w:w="45" w:type="dxa"/>
            </w:tcMar>
            <w:hideMark/>
          </w:tcPr>
          <w:p w14:paraId="7A31E8D8"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lastRenderedPageBreak/>
              <w:t>transport costs</w:t>
            </w:r>
          </w:p>
        </w:tc>
        <w:tc>
          <w:tcPr>
            <w:tcW w:w="0" w:type="auto"/>
            <w:shd w:val="clear" w:color="auto" w:fill="FFFFFF"/>
            <w:tcMar>
              <w:top w:w="45" w:type="dxa"/>
              <w:left w:w="45" w:type="dxa"/>
              <w:bottom w:w="45" w:type="dxa"/>
              <w:right w:w="45" w:type="dxa"/>
            </w:tcMar>
            <w:hideMark/>
          </w:tcPr>
          <w:p w14:paraId="67BEA120"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costs that would be incurred to transport an asset from its current location to its principal (or most advantageous) market. </w:t>
            </w:r>
          </w:p>
        </w:tc>
      </w:tr>
      <w:tr w:rsidR="00373D98" w:rsidRPr="00373D98" w14:paraId="6C57A404" w14:textId="77777777">
        <w:tc>
          <w:tcPr>
            <w:tcW w:w="0" w:type="auto"/>
            <w:shd w:val="clear" w:color="auto" w:fill="FFFFFF"/>
            <w:tcMar>
              <w:top w:w="45" w:type="dxa"/>
              <w:left w:w="45" w:type="dxa"/>
              <w:bottom w:w="45" w:type="dxa"/>
              <w:right w:w="45" w:type="dxa"/>
            </w:tcMar>
            <w:hideMark/>
          </w:tcPr>
          <w:p w14:paraId="618EA9E1"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unit of account</w:t>
            </w:r>
          </w:p>
        </w:tc>
        <w:tc>
          <w:tcPr>
            <w:tcW w:w="0" w:type="auto"/>
            <w:shd w:val="clear" w:color="auto" w:fill="FFFFFF"/>
            <w:tcMar>
              <w:top w:w="45" w:type="dxa"/>
              <w:left w:w="45" w:type="dxa"/>
              <w:bottom w:w="45" w:type="dxa"/>
              <w:right w:w="45" w:type="dxa"/>
            </w:tcMar>
            <w:hideMark/>
          </w:tcPr>
          <w:p w14:paraId="391817D9"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The level at which an asset or a liability is aggregated or disaggregated in an IFRS for recognition purposes. </w:t>
            </w:r>
          </w:p>
        </w:tc>
      </w:tr>
      <w:tr w:rsidR="00373D98" w:rsidRPr="00373D98" w14:paraId="5C92914E" w14:textId="77777777">
        <w:tc>
          <w:tcPr>
            <w:tcW w:w="0" w:type="auto"/>
            <w:shd w:val="clear" w:color="auto" w:fill="FFFFFF"/>
            <w:tcMar>
              <w:top w:w="45" w:type="dxa"/>
              <w:left w:w="45" w:type="dxa"/>
              <w:bottom w:w="45" w:type="dxa"/>
              <w:right w:w="45" w:type="dxa"/>
            </w:tcMar>
            <w:hideMark/>
          </w:tcPr>
          <w:p w14:paraId="793C1287"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b/>
                <w:bCs/>
                <w:color w:val="000000"/>
              </w:rPr>
              <w:t>unobservable inputs</w:t>
            </w:r>
          </w:p>
        </w:tc>
        <w:tc>
          <w:tcPr>
            <w:tcW w:w="0" w:type="auto"/>
            <w:shd w:val="clear" w:color="auto" w:fill="FFFFFF"/>
            <w:tcMar>
              <w:top w:w="45" w:type="dxa"/>
              <w:left w:w="45" w:type="dxa"/>
              <w:bottom w:w="45" w:type="dxa"/>
              <w:right w:w="45" w:type="dxa"/>
            </w:tcMar>
            <w:hideMark/>
          </w:tcPr>
          <w:p w14:paraId="109FC699" w14:textId="77777777" w:rsidR="00373D98" w:rsidRPr="00373D98" w:rsidRDefault="00373D98">
            <w:pPr>
              <w:ind w:left="360"/>
              <w:jc w:val="both"/>
              <w:rPr>
                <w:rFonts w:asciiTheme="majorHAnsi" w:hAnsiTheme="majorHAnsi" w:cstheme="majorHAnsi"/>
                <w:color w:val="000000"/>
              </w:rPr>
            </w:pPr>
            <w:r w:rsidRPr="00373D98">
              <w:rPr>
                <w:rFonts w:asciiTheme="majorHAnsi" w:hAnsiTheme="majorHAnsi" w:cstheme="majorHAnsi"/>
                <w:color w:val="000000"/>
              </w:rPr>
              <w:t>Inputs for which market data are not available and that are developed using the best information available about the assumptions that market participants would use when pricing the asset or liability. </w:t>
            </w:r>
          </w:p>
        </w:tc>
      </w:tr>
    </w:tbl>
    <w:p w14:paraId="7B5378C4" w14:textId="22017958" w:rsidR="002F1680" w:rsidRPr="00373D98" w:rsidRDefault="00AF1CEF" w:rsidP="00373D98">
      <w:pPr>
        <w:rPr>
          <w:rFonts w:asciiTheme="majorHAnsi" w:hAnsiTheme="majorHAnsi" w:cstheme="majorHAnsi"/>
        </w:rPr>
      </w:pPr>
      <w:r w:rsidRPr="00373D98">
        <w:rPr>
          <w:rFonts w:asciiTheme="majorHAnsi" w:hAnsiTheme="majorHAnsi" w:cstheme="majorHAnsi"/>
        </w:rPr>
        <w:br/>
      </w:r>
    </w:p>
    <w:sectPr w:rsidR="002F1680" w:rsidRPr="00373D98" w:rsidSect="00034616">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663FE" w14:textId="77777777" w:rsidR="002C5743" w:rsidRDefault="002C5743" w:rsidP="002C5743">
      <w:pPr>
        <w:spacing w:after="0" w:line="240" w:lineRule="auto"/>
      </w:pPr>
      <w:r>
        <w:separator/>
      </w:r>
    </w:p>
  </w:endnote>
  <w:endnote w:type="continuationSeparator" w:id="0">
    <w:p w14:paraId="2BBB300B" w14:textId="77777777" w:rsidR="002C5743" w:rsidRDefault="002C5743" w:rsidP="002C5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333E" w14:textId="77777777" w:rsidR="002C5743" w:rsidRDefault="002C5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8C6E" w14:textId="77777777" w:rsidR="002C5743" w:rsidRDefault="002C57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09EA" w14:textId="77777777" w:rsidR="002C5743" w:rsidRDefault="002C5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C99D" w14:textId="77777777" w:rsidR="002C5743" w:rsidRDefault="002C5743" w:rsidP="002C5743">
      <w:pPr>
        <w:spacing w:after="0" w:line="240" w:lineRule="auto"/>
      </w:pPr>
      <w:r>
        <w:separator/>
      </w:r>
    </w:p>
  </w:footnote>
  <w:footnote w:type="continuationSeparator" w:id="0">
    <w:p w14:paraId="091AB68F" w14:textId="77777777" w:rsidR="002C5743" w:rsidRDefault="002C5743" w:rsidP="002C57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C5EE" w14:textId="77777777" w:rsidR="002C5743" w:rsidRDefault="002C5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0952905"/>
      <w:docPartObj>
        <w:docPartGallery w:val="Watermarks"/>
        <w:docPartUnique/>
      </w:docPartObj>
    </w:sdtPr>
    <w:sdtContent>
      <w:p w14:paraId="0F138287" w14:textId="038B47DB" w:rsidR="002C5743" w:rsidRDefault="002C5743">
        <w:pPr>
          <w:pStyle w:val="Header"/>
        </w:pPr>
        <w:r>
          <w:rPr>
            <w:noProof/>
          </w:rPr>
          <w:pict w14:anchorId="09771F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B77A" w14:textId="77777777" w:rsidR="002C5743" w:rsidRDefault="002C5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4F612A"/>
    <w:multiLevelType w:val="multilevel"/>
    <w:tmpl w:val="13E2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E2007"/>
    <w:multiLevelType w:val="multilevel"/>
    <w:tmpl w:val="13E2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29118E7"/>
    <w:multiLevelType w:val="hybridMultilevel"/>
    <w:tmpl w:val="BF8A8D42"/>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F72C4E"/>
    <w:multiLevelType w:val="hybridMultilevel"/>
    <w:tmpl w:val="A844E24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3D08B3"/>
    <w:multiLevelType w:val="hybridMultilevel"/>
    <w:tmpl w:val="113218F6"/>
    <w:lvl w:ilvl="0" w:tplc="04090001">
      <w:start w:val="1"/>
      <w:numFmt w:val="bullet"/>
      <w:lvlText w:val=""/>
      <w:lvlJc w:val="left"/>
      <w:pPr>
        <w:ind w:left="80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15:restartNumberingAfterBreak="0">
    <w:nsid w:val="066A4512"/>
    <w:multiLevelType w:val="hybridMultilevel"/>
    <w:tmpl w:val="F28EE616"/>
    <w:lvl w:ilvl="0" w:tplc="379E3A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670038"/>
    <w:multiLevelType w:val="hybridMultilevel"/>
    <w:tmpl w:val="FA64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AA622D"/>
    <w:multiLevelType w:val="multilevel"/>
    <w:tmpl w:val="13E2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9C868DD"/>
    <w:multiLevelType w:val="multilevel"/>
    <w:tmpl w:val="3470321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4E67CA"/>
    <w:multiLevelType w:val="hybridMultilevel"/>
    <w:tmpl w:val="E97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EA7645"/>
    <w:multiLevelType w:val="hybridMultilevel"/>
    <w:tmpl w:val="FC7CB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003E23"/>
    <w:multiLevelType w:val="hybridMultilevel"/>
    <w:tmpl w:val="94FAB4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0E5841"/>
    <w:multiLevelType w:val="hybridMultilevel"/>
    <w:tmpl w:val="53A6A2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3901A5"/>
    <w:multiLevelType w:val="multilevel"/>
    <w:tmpl w:val="B9E88D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5807AE5"/>
    <w:multiLevelType w:val="multilevel"/>
    <w:tmpl w:val="0E5C20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DA5BC4"/>
    <w:multiLevelType w:val="hybridMultilevel"/>
    <w:tmpl w:val="5A40C4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E37873"/>
    <w:multiLevelType w:val="hybridMultilevel"/>
    <w:tmpl w:val="BC9AF50C"/>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6E12FC"/>
    <w:multiLevelType w:val="hybridMultilevel"/>
    <w:tmpl w:val="4A8649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B0579D"/>
    <w:multiLevelType w:val="multilevel"/>
    <w:tmpl w:val="DCAC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AE505C"/>
    <w:multiLevelType w:val="hybridMultilevel"/>
    <w:tmpl w:val="2F321C5E"/>
    <w:lvl w:ilvl="0" w:tplc="3058EB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830257"/>
    <w:multiLevelType w:val="hybridMultilevel"/>
    <w:tmpl w:val="D6C293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A556C4"/>
    <w:multiLevelType w:val="hybridMultilevel"/>
    <w:tmpl w:val="62084DB2"/>
    <w:lvl w:ilvl="0" w:tplc="A2D8CAD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317530"/>
    <w:multiLevelType w:val="hybridMultilevel"/>
    <w:tmpl w:val="CF3CB1A6"/>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6622723"/>
    <w:multiLevelType w:val="multilevel"/>
    <w:tmpl w:val="69FE9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6C20AB4"/>
    <w:multiLevelType w:val="hybridMultilevel"/>
    <w:tmpl w:val="795E9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9E61CDB"/>
    <w:multiLevelType w:val="multilevel"/>
    <w:tmpl w:val="B9E88D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2BF51B8F"/>
    <w:multiLevelType w:val="hybridMultilevel"/>
    <w:tmpl w:val="33C0AD6A"/>
    <w:lvl w:ilvl="0" w:tplc="9F96C6D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DC649A0"/>
    <w:multiLevelType w:val="multilevel"/>
    <w:tmpl w:val="CDFE1B48"/>
    <w:lvl w:ilvl="0">
      <w:start w:val="1"/>
      <w:numFmt w:val="decimal"/>
      <w:lvlText w:val="%1."/>
      <w:lvlJc w:val="left"/>
      <w:pPr>
        <w:tabs>
          <w:tab w:val="num" w:pos="720"/>
        </w:tabs>
        <w:ind w:left="720" w:hanging="360"/>
      </w:pPr>
      <w:rPr>
        <w:rFonts w:asciiTheme="majorHAnsi" w:eastAsiaTheme="minorHAnsi" w:hAnsiTheme="majorHAnsi" w:cstheme="maj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0C07A1"/>
    <w:multiLevelType w:val="hybridMultilevel"/>
    <w:tmpl w:val="B696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E62A01"/>
    <w:multiLevelType w:val="hybridMultilevel"/>
    <w:tmpl w:val="610A27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6E0C5A"/>
    <w:multiLevelType w:val="hybridMultilevel"/>
    <w:tmpl w:val="FB581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6080BC8"/>
    <w:multiLevelType w:val="hybridMultilevel"/>
    <w:tmpl w:val="66EE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B3350E"/>
    <w:multiLevelType w:val="multilevel"/>
    <w:tmpl w:val="4C223E80"/>
    <w:lvl w:ilvl="0">
      <w:start w:val="6"/>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2" w15:restartNumberingAfterBreak="0">
    <w:nsid w:val="387D5F6B"/>
    <w:multiLevelType w:val="multilevel"/>
    <w:tmpl w:val="AC90B756"/>
    <w:lvl w:ilvl="0">
      <w:start w:val="1"/>
      <w:numFmt w:val="lowerLetter"/>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8D332DC"/>
    <w:multiLevelType w:val="hybridMultilevel"/>
    <w:tmpl w:val="E3084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CE585A"/>
    <w:multiLevelType w:val="hybridMultilevel"/>
    <w:tmpl w:val="8E1A0F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D193133"/>
    <w:multiLevelType w:val="hybridMultilevel"/>
    <w:tmpl w:val="3AECD13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6" w15:restartNumberingAfterBreak="0">
    <w:nsid w:val="3E1865D4"/>
    <w:multiLevelType w:val="hybridMultilevel"/>
    <w:tmpl w:val="133AF8DC"/>
    <w:lvl w:ilvl="0" w:tplc="04090017">
      <w:start w:val="1"/>
      <w:numFmt w:val="lowerLetter"/>
      <w:lvlText w:val="%1)"/>
      <w:lvlJc w:val="left"/>
      <w:pPr>
        <w:ind w:left="720" w:hanging="360"/>
      </w:pPr>
    </w:lvl>
    <w:lvl w:ilvl="1" w:tplc="AF48CF3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F7797E"/>
    <w:multiLevelType w:val="hybridMultilevel"/>
    <w:tmpl w:val="A0BA88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5E044D"/>
    <w:multiLevelType w:val="hybridMultilevel"/>
    <w:tmpl w:val="B9601DF0"/>
    <w:lvl w:ilvl="0" w:tplc="04090017">
      <w:start w:val="1"/>
      <w:numFmt w:val="lowerLetter"/>
      <w:lvlText w:val="%1)"/>
      <w:lvlJc w:val="left"/>
      <w:pPr>
        <w:ind w:left="720" w:hanging="360"/>
      </w:pPr>
    </w:lvl>
    <w:lvl w:ilvl="1" w:tplc="CAC8144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1E00125"/>
    <w:multiLevelType w:val="hybridMultilevel"/>
    <w:tmpl w:val="A2A2B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835187"/>
    <w:multiLevelType w:val="hybridMultilevel"/>
    <w:tmpl w:val="D4B83BD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5E0589C"/>
    <w:multiLevelType w:val="hybridMultilevel"/>
    <w:tmpl w:val="268AF4C0"/>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2" w15:restartNumberingAfterBreak="0">
    <w:nsid w:val="46DF2E9A"/>
    <w:multiLevelType w:val="multilevel"/>
    <w:tmpl w:val="B9E88D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47F709FB"/>
    <w:multiLevelType w:val="hybridMultilevel"/>
    <w:tmpl w:val="1324D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513ABE"/>
    <w:multiLevelType w:val="multilevel"/>
    <w:tmpl w:val="B4B8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E76D27"/>
    <w:multiLevelType w:val="hybridMultilevel"/>
    <w:tmpl w:val="570AA590"/>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9A5DF3"/>
    <w:multiLevelType w:val="hybridMultilevel"/>
    <w:tmpl w:val="09FC8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EA72665"/>
    <w:multiLevelType w:val="hybridMultilevel"/>
    <w:tmpl w:val="17B034EA"/>
    <w:lvl w:ilvl="0" w:tplc="04090017">
      <w:start w:val="1"/>
      <w:numFmt w:val="lowerLetter"/>
      <w:lvlText w:val="%1)"/>
      <w:lvlJc w:val="left"/>
      <w:pPr>
        <w:ind w:left="720" w:hanging="360"/>
      </w:pPr>
    </w:lvl>
    <w:lvl w:ilvl="1" w:tplc="804C832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EC350B8"/>
    <w:multiLevelType w:val="hybridMultilevel"/>
    <w:tmpl w:val="F30EE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0226940"/>
    <w:multiLevelType w:val="hybridMultilevel"/>
    <w:tmpl w:val="0D061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18215F"/>
    <w:multiLevelType w:val="hybridMultilevel"/>
    <w:tmpl w:val="F6A0F2AC"/>
    <w:lvl w:ilvl="0" w:tplc="DDD4C31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B36B1C"/>
    <w:multiLevelType w:val="hybridMultilevel"/>
    <w:tmpl w:val="B148A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36C1A6E"/>
    <w:multiLevelType w:val="hybridMultilevel"/>
    <w:tmpl w:val="B8367FE6"/>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390096B"/>
    <w:multiLevelType w:val="hybridMultilevel"/>
    <w:tmpl w:val="23F8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92D6543"/>
    <w:multiLevelType w:val="hybridMultilevel"/>
    <w:tmpl w:val="784ECE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5D0584"/>
    <w:multiLevelType w:val="hybridMultilevel"/>
    <w:tmpl w:val="C0A4F534"/>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9A97AA9"/>
    <w:multiLevelType w:val="hybridMultilevel"/>
    <w:tmpl w:val="909899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BFA629D"/>
    <w:multiLevelType w:val="hybridMultilevel"/>
    <w:tmpl w:val="C86C5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1A78AB"/>
    <w:multiLevelType w:val="multilevel"/>
    <w:tmpl w:val="24589970"/>
    <w:lvl w:ilvl="0">
      <w:start w:val="6"/>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601D0619"/>
    <w:multiLevelType w:val="hybridMultilevel"/>
    <w:tmpl w:val="990E428C"/>
    <w:lvl w:ilvl="0" w:tplc="04090017">
      <w:start w:val="1"/>
      <w:numFmt w:val="lowerLetter"/>
      <w:lvlText w:val="%1)"/>
      <w:lvlJc w:val="left"/>
      <w:pPr>
        <w:ind w:left="720" w:hanging="360"/>
      </w:pPr>
    </w:lvl>
    <w:lvl w:ilvl="1" w:tplc="7C94AF9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380318"/>
    <w:multiLevelType w:val="hybridMultilevel"/>
    <w:tmpl w:val="B1BCE5A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5D1FFC"/>
    <w:multiLevelType w:val="hybridMultilevel"/>
    <w:tmpl w:val="67628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EB4714"/>
    <w:multiLevelType w:val="multilevel"/>
    <w:tmpl w:val="13E2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12449EA"/>
    <w:multiLevelType w:val="hybridMultilevel"/>
    <w:tmpl w:val="A9FCA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46F193D"/>
    <w:multiLevelType w:val="hybridMultilevel"/>
    <w:tmpl w:val="BD3C2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27771B"/>
    <w:multiLevelType w:val="hybridMultilevel"/>
    <w:tmpl w:val="D9EE413A"/>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9216A7"/>
    <w:multiLevelType w:val="hybridMultilevel"/>
    <w:tmpl w:val="96363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121270">
    <w:abstractNumId w:val="8"/>
  </w:num>
  <w:num w:numId="2" w16cid:durableId="633413500">
    <w:abstractNumId w:val="6"/>
  </w:num>
  <w:num w:numId="3" w16cid:durableId="1972058128">
    <w:abstractNumId w:val="5"/>
  </w:num>
  <w:num w:numId="4" w16cid:durableId="455560891">
    <w:abstractNumId w:val="4"/>
  </w:num>
  <w:num w:numId="5" w16cid:durableId="598606727">
    <w:abstractNumId w:val="7"/>
  </w:num>
  <w:num w:numId="6" w16cid:durableId="1159731540">
    <w:abstractNumId w:val="3"/>
  </w:num>
  <w:num w:numId="7" w16cid:durableId="1434546416">
    <w:abstractNumId w:val="2"/>
  </w:num>
  <w:num w:numId="8" w16cid:durableId="900140663">
    <w:abstractNumId w:val="1"/>
  </w:num>
  <w:num w:numId="9" w16cid:durableId="1790969780">
    <w:abstractNumId w:val="0"/>
  </w:num>
  <w:num w:numId="10" w16cid:durableId="429474237">
    <w:abstractNumId w:val="38"/>
  </w:num>
  <w:num w:numId="11" w16cid:durableId="745955881">
    <w:abstractNumId w:val="14"/>
  </w:num>
  <w:num w:numId="12" w16cid:durableId="709383141">
    <w:abstractNumId w:val="44"/>
  </w:num>
  <w:num w:numId="13" w16cid:durableId="279579403">
    <w:abstractNumId w:val="53"/>
  </w:num>
  <w:num w:numId="14" w16cid:durableId="167523225">
    <w:abstractNumId w:val="33"/>
  </w:num>
  <w:num w:numId="15" w16cid:durableId="1282689759">
    <w:abstractNumId w:val="52"/>
  </w:num>
  <w:num w:numId="16" w16cid:durableId="630205604">
    <w:abstractNumId w:val="51"/>
  </w:num>
  <w:num w:numId="17" w16cid:durableId="250893604">
    <w:abstractNumId w:val="21"/>
  </w:num>
  <w:num w:numId="18" w16cid:durableId="1096288646">
    <w:abstractNumId w:val="28"/>
  </w:num>
  <w:num w:numId="19" w16cid:durableId="1177185743">
    <w:abstractNumId w:val="69"/>
  </w:num>
  <w:num w:numId="20" w16cid:durableId="546721481">
    <w:abstractNumId w:val="37"/>
  </w:num>
  <w:num w:numId="21" w16cid:durableId="863591823">
    <w:abstractNumId w:val="76"/>
  </w:num>
  <w:num w:numId="22" w16cid:durableId="1226145631">
    <w:abstractNumId w:val="39"/>
  </w:num>
  <w:num w:numId="23" w16cid:durableId="1485776626">
    <w:abstractNumId w:val="46"/>
  </w:num>
  <w:num w:numId="24" w16cid:durableId="1120607835">
    <w:abstractNumId w:val="22"/>
  </w:num>
  <w:num w:numId="25" w16cid:durableId="721708173">
    <w:abstractNumId w:val="48"/>
  </w:num>
  <w:num w:numId="26" w16cid:durableId="1346639878">
    <w:abstractNumId w:val="58"/>
  </w:num>
  <w:num w:numId="27" w16cid:durableId="1583218816">
    <w:abstractNumId w:val="66"/>
  </w:num>
  <w:num w:numId="28" w16cid:durableId="257567968">
    <w:abstractNumId w:val="61"/>
  </w:num>
  <w:num w:numId="29" w16cid:durableId="2052412736">
    <w:abstractNumId w:val="50"/>
  </w:num>
  <w:num w:numId="30" w16cid:durableId="351108304">
    <w:abstractNumId w:val="26"/>
  </w:num>
  <w:num w:numId="31" w16cid:durableId="47534804">
    <w:abstractNumId w:val="64"/>
  </w:num>
  <w:num w:numId="32" w16cid:durableId="437607492">
    <w:abstractNumId w:val="73"/>
  </w:num>
  <w:num w:numId="33" w16cid:durableId="1332759105">
    <w:abstractNumId w:val="62"/>
  </w:num>
  <w:num w:numId="34" w16cid:durableId="330841486">
    <w:abstractNumId w:val="43"/>
  </w:num>
  <w:num w:numId="35" w16cid:durableId="1836797705">
    <w:abstractNumId w:val="47"/>
  </w:num>
  <w:num w:numId="36" w16cid:durableId="3942093">
    <w:abstractNumId w:val="30"/>
  </w:num>
  <w:num w:numId="37" w16cid:durableId="1034962400">
    <w:abstractNumId w:val="71"/>
  </w:num>
  <w:num w:numId="38" w16cid:durableId="331297103">
    <w:abstractNumId w:val="59"/>
  </w:num>
  <w:num w:numId="39" w16cid:durableId="12346636">
    <w:abstractNumId w:val="68"/>
  </w:num>
  <w:num w:numId="40" w16cid:durableId="202133091">
    <w:abstractNumId w:val="75"/>
  </w:num>
  <w:num w:numId="41" w16cid:durableId="474027117">
    <w:abstractNumId w:val="55"/>
  </w:num>
  <w:num w:numId="42" w16cid:durableId="1687902767">
    <w:abstractNumId w:val="25"/>
  </w:num>
  <w:num w:numId="43" w16cid:durableId="1872765183">
    <w:abstractNumId w:val="24"/>
  </w:num>
  <w:num w:numId="44" w16cid:durableId="1615408597">
    <w:abstractNumId w:val="20"/>
  </w:num>
  <w:num w:numId="45" w16cid:durableId="1395465086">
    <w:abstractNumId w:val="60"/>
  </w:num>
  <w:num w:numId="46" w16cid:durableId="2034500949">
    <w:abstractNumId w:val="57"/>
  </w:num>
  <w:num w:numId="47" w16cid:durableId="668143595">
    <w:abstractNumId w:val="35"/>
  </w:num>
  <w:num w:numId="48" w16cid:durableId="1079136313">
    <w:abstractNumId w:val="70"/>
  </w:num>
  <w:num w:numId="49" w16cid:durableId="1392847664">
    <w:abstractNumId w:val="15"/>
  </w:num>
  <w:num w:numId="50" w16cid:durableId="1160845679">
    <w:abstractNumId w:val="74"/>
  </w:num>
  <w:num w:numId="51" w16cid:durableId="81031691">
    <w:abstractNumId w:val="41"/>
  </w:num>
  <w:num w:numId="52" w16cid:durableId="952784931">
    <w:abstractNumId w:val="11"/>
  </w:num>
  <w:num w:numId="53" w16cid:durableId="1660958189">
    <w:abstractNumId w:val="12"/>
  </w:num>
  <w:num w:numId="54" w16cid:durableId="1881163439">
    <w:abstractNumId w:val="65"/>
  </w:num>
  <w:num w:numId="55" w16cid:durableId="828255602">
    <w:abstractNumId w:val="31"/>
  </w:num>
  <w:num w:numId="56" w16cid:durableId="1915359788">
    <w:abstractNumId w:val="67"/>
  </w:num>
  <w:num w:numId="57" w16cid:durableId="1899200340">
    <w:abstractNumId w:val="72"/>
  </w:num>
  <w:num w:numId="58" w16cid:durableId="1183471365">
    <w:abstractNumId w:val="34"/>
  </w:num>
  <w:num w:numId="59" w16cid:durableId="1514805451">
    <w:abstractNumId w:val="49"/>
  </w:num>
  <w:num w:numId="60" w16cid:durableId="1166358958">
    <w:abstractNumId w:val="32"/>
  </w:num>
  <w:num w:numId="61" w16cid:durableId="735975831">
    <w:abstractNumId w:val="42"/>
  </w:num>
  <w:num w:numId="62" w16cid:durableId="1774477681">
    <w:abstractNumId w:val="27"/>
  </w:num>
  <w:num w:numId="63" w16cid:durableId="1607537264">
    <w:abstractNumId w:val="18"/>
  </w:num>
  <w:num w:numId="64" w16cid:durableId="379482079">
    <w:abstractNumId w:val="17"/>
  </w:num>
  <w:num w:numId="65" w16cid:durableId="184949621">
    <w:abstractNumId w:val="29"/>
  </w:num>
  <w:num w:numId="66" w16cid:durableId="1602375724">
    <w:abstractNumId w:val="23"/>
  </w:num>
  <w:num w:numId="67" w16cid:durableId="919365599">
    <w:abstractNumId w:val="16"/>
  </w:num>
  <w:num w:numId="68" w16cid:durableId="1769502691">
    <w:abstractNumId w:val="54"/>
  </w:num>
  <w:num w:numId="69" w16cid:durableId="1212379147">
    <w:abstractNumId w:val="40"/>
  </w:num>
  <w:num w:numId="70" w16cid:durableId="1404567650">
    <w:abstractNumId w:val="63"/>
  </w:num>
  <w:num w:numId="71" w16cid:durableId="1686591224">
    <w:abstractNumId w:val="10"/>
  </w:num>
  <w:num w:numId="72" w16cid:durableId="891115682">
    <w:abstractNumId w:val="36"/>
  </w:num>
  <w:num w:numId="73" w16cid:durableId="1360471057">
    <w:abstractNumId w:val="9"/>
  </w:num>
  <w:num w:numId="74" w16cid:durableId="1664046677">
    <w:abstractNumId w:val="56"/>
  </w:num>
  <w:num w:numId="75" w16cid:durableId="309988726">
    <w:abstractNumId w:val="19"/>
  </w:num>
  <w:num w:numId="76" w16cid:durableId="1602294294">
    <w:abstractNumId w:val="13"/>
  </w:num>
  <w:num w:numId="77" w16cid:durableId="2044203847">
    <w:abstractNumId w:val="45"/>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109"/>
    <w:rsid w:val="00027F24"/>
    <w:rsid w:val="00034616"/>
    <w:rsid w:val="00036EEC"/>
    <w:rsid w:val="00047124"/>
    <w:rsid w:val="00047DE4"/>
    <w:rsid w:val="00054088"/>
    <w:rsid w:val="0006063C"/>
    <w:rsid w:val="000E725A"/>
    <w:rsid w:val="000F2D4F"/>
    <w:rsid w:val="001155C2"/>
    <w:rsid w:val="0015074B"/>
    <w:rsid w:val="00154931"/>
    <w:rsid w:val="00192A3F"/>
    <w:rsid w:val="001C3F70"/>
    <w:rsid w:val="001E28CB"/>
    <w:rsid w:val="00280EC4"/>
    <w:rsid w:val="00281E57"/>
    <w:rsid w:val="0029639D"/>
    <w:rsid w:val="002C0DC9"/>
    <w:rsid w:val="002C5743"/>
    <w:rsid w:val="002E5609"/>
    <w:rsid w:val="002F1680"/>
    <w:rsid w:val="00311DD2"/>
    <w:rsid w:val="00326F90"/>
    <w:rsid w:val="0033605E"/>
    <w:rsid w:val="00373D98"/>
    <w:rsid w:val="003F7E46"/>
    <w:rsid w:val="004035B3"/>
    <w:rsid w:val="00435290"/>
    <w:rsid w:val="00476694"/>
    <w:rsid w:val="004A2843"/>
    <w:rsid w:val="004C1667"/>
    <w:rsid w:val="0053633E"/>
    <w:rsid w:val="00541761"/>
    <w:rsid w:val="005C045A"/>
    <w:rsid w:val="006010BD"/>
    <w:rsid w:val="00612F4A"/>
    <w:rsid w:val="00635BD0"/>
    <w:rsid w:val="00643D6D"/>
    <w:rsid w:val="00656DF4"/>
    <w:rsid w:val="00682610"/>
    <w:rsid w:val="006C7A7D"/>
    <w:rsid w:val="007061B0"/>
    <w:rsid w:val="00706A0C"/>
    <w:rsid w:val="007104C5"/>
    <w:rsid w:val="0073066B"/>
    <w:rsid w:val="00734202"/>
    <w:rsid w:val="00786B47"/>
    <w:rsid w:val="007E0AA1"/>
    <w:rsid w:val="007E4A72"/>
    <w:rsid w:val="008235DB"/>
    <w:rsid w:val="00833656"/>
    <w:rsid w:val="00891F11"/>
    <w:rsid w:val="0089666D"/>
    <w:rsid w:val="008B5BFB"/>
    <w:rsid w:val="00905306"/>
    <w:rsid w:val="00905ACA"/>
    <w:rsid w:val="00974FB1"/>
    <w:rsid w:val="00996A82"/>
    <w:rsid w:val="00A06073"/>
    <w:rsid w:val="00A11090"/>
    <w:rsid w:val="00A25D33"/>
    <w:rsid w:val="00AA1D8D"/>
    <w:rsid w:val="00AF00BA"/>
    <w:rsid w:val="00AF1CEF"/>
    <w:rsid w:val="00AF25A0"/>
    <w:rsid w:val="00B02DF2"/>
    <w:rsid w:val="00B25BC3"/>
    <w:rsid w:val="00B27345"/>
    <w:rsid w:val="00B46354"/>
    <w:rsid w:val="00B47730"/>
    <w:rsid w:val="00B56BD0"/>
    <w:rsid w:val="00B669C3"/>
    <w:rsid w:val="00BC0D2A"/>
    <w:rsid w:val="00C56358"/>
    <w:rsid w:val="00CB0664"/>
    <w:rsid w:val="00CB764E"/>
    <w:rsid w:val="00CD0856"/>
    <w:rsid w:val="00CD3BCC"/>
    <w:rsid w:val="00CE411A"/>
    <w:rsid w:val="00D00173"/>
    <w:rsid w:val="00D146A4"/>
    <w:rsid w:val="00D150D5"/>
    <w:rsid w:val="00DB4656"/>
    <w:rsid w:val="00DE5673"/>
    <w:rsid w:val="00E212D9"/>
    <w:rsid w:val="00E463A3"/>
    <w:rsid w:val="00E4797E"/>
    <w:rsid w:val="00E93507"/>
    <w:rsid w:val="00E93B43"/>
    <w:rsid w:val="00EB59FB"/>
    <w:rsid w:val="00EC076E"/>
    <w:rsid w:val="00ED26C5"/>
    <w:rsid w:val="00EE4C17"/>
    <w:rsid w:val="00F11FBE"/>
    <w:rsid w:val="00F27479"/>
    <w:rsid w:val="00F30A84"/>
    <w:rsid w:val="00F4087B"/>
    <w:rsid w:val="00F45949"/>
    <w:rsid w:val="00F660DD"/>
    <w:rsid w:val="00F81150"/>
    <w:rsid w:val="00F86D44"/>
    <w:rsid w:val="00FB0237"/>
    <w:rsid w:val="00FB08C7"/>
    <w:rsid w:val="00FC633E"/>
    <w:rsid w:val="00FC693F"/>
    <w:rsid w:val="108D9D53"/>
    <w:rsid w:val="1285F9B6"/>
    <w:rsid w:val="136B5022"/>
    <w:rsid w:val="1E1F7F7C"/>
    <w:rsid w:val="1E840B26"/>
    <w:rsid w:val="27016B3F"/>
    <w:rsid w:val="2E238BA3"/>
    <w:rsid w:val="2F092275"/>
    <w:rsid w:val="326EB2BF"/>
    <w:rsid w:val="35F1AD68"/>
    <w:rsid w:val="3BA5154E"/>
    <w:rsid w:val="47B86808"/>
    <w:rsid w:val="49820094"/>
    <w:rsid w:val="506F634A"/>
    <w:rsid w:val="58654A4A"/>
    <w:rsid w:val="5D0DE1A7"/>
    <w:rsid w:val="6A319DF3"/>
    <w:rsid w:val="6A4B3541"/>
    <w:rsid w:val="6C4ECB48"/>
    <w:rsid w:val="7D14333E"/>
    <w:rsid w:val="7EAD82D3"/>
    <w:rsid w:val="7F026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1599D0"/>
  <w14:defaultImageDpi w14:val="300"/>
  <w15:docId w15:val="{1825F22B-4875-4828-AE02-6E86E654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CB066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D3DFEE" w:themeFill="accent1" w:themeFillTint="3F"/>
    </w:tc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EFD3D2" w:themeFill="accent2" w:themeFillTint="3F"/>
    </w:tc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E6EED5" w:themeFill="accent3" w:themeFillTint="3F"/>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DFD8E8" w:themeFill="accent4" w:themeFillTint="3F"/>
    </w:tc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D2EAF1" w:themeFill="accent5" w:themeFillTint="3F"/>
    </w:tc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FDE4D0" w:themeFill="accent6" w:themeFillTint="3F"/>
    </w:tc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style>
  <w:style w:type="table" w:styleId="MediumShading2">
    <w:name w:val="Medium Shading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D3DFEE" w:themeFill="accent1" w:themeFillTint="3F"/>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EFD3D2" w:themeFill="accent2" w:themeFillTint="3F"/>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E6EED5" w:themeFill="accent3" w:themeFillTint="3F"/>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DFD8E8" w:themeFill="accent4" w:themeFillTint="3F"/>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D2EAF1" w:themeFill="accent5" w:themeFillTint="3F"/>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FDE4D0" w:themeFill="accent6" w:themeFillTint="3F"/>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style>
  <w:style w:type="character" w:styleId="CommentReference">
    <w:name w:val="annotation reference"/>
    <w:basedOn w:val="DefaultParagraphFont"/>
    <w:uiPriority w:val="99"/>
    <w:semiHidden/>
    <w:unhideWhenUsed/>
    <w:rsid w:val="00656DF4"/>
    <w:rPr>
      <w:sz w:val="16"/>
      <w:szCs w:val="16"/>
    </w:rPr>
  </w:style>
  <w:style w:type="paragraph" w:styleId="CommentText">
    <w:name w:val="annotation text"/>
    <w:basedOn w:val="Normal"/>
    <w:link w:val="CommentTextChar"/>
    <w:uiPriority w:val="99"/>
    <w:unhideWhenUsed/>
    <w:rsid w:val="00656DF4"/>
    <w:pPr>
      <w:spacing w:line="240" w:lineRule="auto"/>
    </w:pPr>
    <w:rPr>
      <w:sz w:val="20"/>
      <w:szCs w:val="20"/>
    </w:rPr>
  </w:style>
  <w:style w:type="character" w:customStyle="1" w:styleId="CommentTextChar">
    <w:name w:val="Comment Text Char"/>
    <w:basedOn w:val="DefaultParagraphFont"/>
    <w:link w:val="CommentText"/>
    <w:uiPriority w:val="99"/>
    <w:rsid w:val="00656DF4"/>
    <w:rPr>
      <w:sz w:val="20"/>
      <w:szCs w:val="20"/>
    </w:rPr>
  </w:style>
  <w:style w:type="paragraph" w:styleId="CommentSubject">
    <w:name w:val="annotation subject"/>
    <w:basedOn w:val="CommentText"/>
    <w:next w:val="CommentText"/>
    <w:link w:val="CommentSubjectChar"/>
    <w:uiPriority w:val="99"/>
    <w:semiHidden/>
    <w:unhideWhenUsed/>
    <w:rsid w:val="00656DF4"/>
    <w:rPr>
      <w:b/>
      <w:bCs/>
    </w:rPr>
  </w:style>
  <w:style w:type="character" w:customStyle="1" w:styleId="CommentSubjectChar">
    <w:name w:val="Comment Subject Char"/>
    <w:basedOn w:val="CommentTextChar"/>
    <w:link w:val="CommentSubject"/>
    <w:uiPriority w:val="99"/>
    <w:semiHidden/>
    <w:rsid w:val="00656DF4"/>
    <w:rPr>
      <w:b/>
      <w:bCs/>
      <w:sz w:val="20"/>
      <w:szCs w:val="20"/>
    </w:rPr>
  </w:style>
  <w:style w:type="character" w:styleId="Hyperlink">
    <w:name w:val="Hyperlink"/>
    <w:basedOn w:val="DefaultParagraphFont"/>
    <w:uiPriority w:val="99"/>
    <w:unhideWhenUsed/>
    <w:rsid w:val="00373D98"/>
    <w:rPr>
      <w:color w:val="0000FF" w:themeColor="hyperlink"/>
      <w:u w:val="single"/>
    </w:rPr>
  </w:style>
  <w:style w:type="paragraph" w:styleId="TOC1">
    <w:name w:val="toc 1"/>
    <w:basedOn w:val="Normal"/>
    <w:next w:val="Normal"/>
    <w:autoRedefine/>
    <w:uiPriority w:val="39"/>
    <w:unhideWhenUsed/>
    <w:rsid w:val="00373D98"/>
    <w:pPr>
      <w:spacing w:after="100"/>
    </w:pPr>
  </w:style>
  <w:style w:type="paragraph" w:styleId="TOC2">
    <w:name w:val="toc 2"/>
    <w:basedOn w:val="Normal"/>
    <w:next w:val="Normal"/>
    <w:autoRedefine/>
    <w:uiPriority w:val="39"/>
    <w:unhideWhenUsed/>
    <w:rsid w:val="00373D98"/>
    <w:pPr>
      <w:spacing w:after="100"/>
      <w:ind w:left="220"/>
    </w:pPr>
  </w:style>
  <w:style w:type="paragraph" w:styleId="TOC3">
    <w:name w:val="toc 3"/>
    <w:basedOn w:val="Normal"/>
    <w:next w:val="Normal"/>
    <w:autoRedefine/>
    <w:uiPriority w:val="39"/>
    <w:unhideWhenUsed/>
    <w:rsid w:val="00373D98"/>
    <w:pPr>
      <w:spacing w:after="100"/>
      <w:ind w:left="440"/>
    </w:pPr>
  </w:style>
  <w:style w:type="paragraph" w:styleId="TOC4">
    <w:name w:val="toc 4"/>
    <w:basedOn w:val="Normal"/>
    <w:next w:val="Normal"/>
    <w:autoRedefine/>
    <w:uiPriority w:val="39"/>
    <w:unhideWhenUsed/>
    <w:rsid w:val="00373D98"/>
    <w:pPr>
      <w:spacing w:after="100"/>
      <w:ind w:left="660"/>
    </w:pPr>
  </w:style>
  <w:style w:type="paragraph" w:styleId="Revision">
    <w:name w:val="Revision"/>
    <w:hidden/>
    <w:uiPriority w:val="99"/>
    <w:semiHidden/>
    <w:rsid w:val="002C0D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ve.atlas.e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ive.atlas.e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397d5-3dbe-4c13-b67d-24abe3fba0df">
      <Terms xmlns="http://schemas.microsoft.com/office/infopath/2007/PartnerControls"/>
    </lcf76f155ced4ddcb4097134ff3c332f>
    <TaxCatchAll xmlns="22ae96f9-8f62-4357-9137-1171046a50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A3BD9DA5EF2E40BD1072BAE2CC4E69" ma:contentTypeVersion="14" ma:contentTypeDescription="Create a new document." ma:contentTypeScope="" ma:versionID="7bdf765ce2ee9b479fc00eb9d28fa882">
  <xsd:schema xmlns:xsd="http://www.w3.org/2001/XMLSchema" xmlns:xs="http://www.w3.org/2001/XMLSchema" xmlns:p="http://schemas.microsoft.com/office/2006/metadata/properties" xmlns:ns2="e69397d5-3dbe-4c13-b67d-24abe3fba0df" xmlns:ns3="22ae96f9-8f62-4357-9137-1171046a504d" targetNamespace="http://schemas.microsoft.com/office/2006/metadata/properties" ma:root="true" ma:fieldsID="da4bf4b124901f5c34ba50f87333eec6" ns2:_="" ns3:_="">
    <xsd:import namespace="e69397d5-3dbe-4c13-b67d-24abe3fba0df"/>
    <xsd:import namespace="22ae96f9-8f62-4357-9137-1171046a504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397d5-3dbe-4c13-b67d-24abe3fba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a35de1f-298e-46f0-bedb-de542e90052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ae96f9-8f62-4357-9137-1171046a504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ba240c-304b-4e17-9370-2a2179286ba2}" ma:internalName="TaxCatchAll" ma:showField="CatchAllData" ma:web="22ae96f9-8f62-4357-9137-1171046a504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603D5517-45C2-4659-957B-4583FDB7E525}">
  <ds:schemaRefs>
    <ds:schemaRef ds:uri="http://schemas.microsoft.com/office/2006/metadata/properties"/>
    <ds:schemaRef ds:uri="http://schemas.microsoft.com/office/infopath/2007/PartnerControls"/>
    <ds:schemaRef ds:uri="e69397d5-3dbe-4c13-b67d-24abe3fba0df"/>
    <ds:schemaRef ds:uri="22ae96f9-8f62-4357-9137-1171046a504d"/>
  </ds:schemaRefs>
</ds:datastoreItem>
</file>

<file path=customXml/itemProps3.xml><?xml version="1.0" encoding="utf-8"?>
<ds:datastoreItem xmlns:ds="http://schemas.openxmlformats.org/officeDocument/2006/customXml" ds:itemID="{E633751A-1E78-4E10-8712-D35CE22C4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397d5-3dbe-4c13-b67d-24abe3fba0df"/>
    <ds:schemaRef ds:uri="22ae96f9-8f62-4357-9137-1171046a5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468EA-C7B6-4866-A67D-80C339AE26C1}">
  <ds:schemaRefs>
    <ds:schemaRef ds:uri="http://schemas.microsoft.com/sharepoint/v3/contenttype/forms"/>
  </ds:schemaRefs>
</ds:datastoreItem>
</file>

<file path=docMetadata/LabelInfo.xml><?xml version="1.0" encoding="utf-8"?>
<clbl:labelList xmlns:clbl="http://schemas.microsoft.com/office/2020/mipLabelMetadata">
  <clbl:label id="{95653b52-df9b-47d2-8549-8de78ac04e21}" enabled="1" method="Standard" siteId="{deff24bb-2089-4400-8c8e-f71e680378b2}" removed="0"/>
</clbl:labelList>
</file>

<file path=docProps/app.xml><?xml version="1.0" encoding="utf-8"?>
<Properties xmlns="http://schemas.openxmlformats.org/officeDocument/2006/extended-properties" xmlns:vt="http://schemas.openxmlformats.org/officeDocument/2006/docPropsVTypes">
  <Template>Normal</Template>
  <TotalTime>3</TotalTime>
  <Pages>31</Pages>
  <Words>9374</Words>
  <Characters>53432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62681</CharactersWithSpaces>
  <SharedDoc>false</SharedDoc>
  <HyperlinkBase/>
  <HLinks>
    <vt:vector size="198" baseType="variant">
      <vt:variant>
        <vt:i4>655376</vt:i4>
      </vt:variant>
      <vt:variant>
        <vt:i4>192</vt:i4>
      </vt:variant>
      <vt:variant>
        <vt:i4>0</vt:i4>
      </vt:variant>
      <vt:variant>
        <vt:i4>5</vt:i4>
      </vt:variant>
      <vt:variant>
        <vt:lpwstr>https://live.atlas.ey.com/</vt:lpwstr>
      </vt:variant>
      <vt:variant>
        <vt:lpwstr>document/522036?pref=20023/9/133&amp;crumb=105/1490115</vt:lpwstr>
      </vt:variant>
      <vt:variant>
        <vt:i4>20</vt:i4>
      </vt:variant>
      <vt:variant>
        <vt:i4>189</vt:i4>
      </vt:variant>
      <vt:variant>
        <vt:i4>0</vt:i4>
      </vt:variant>
      <vt:variant>
        <vt:i4>5</vt:i4>
      </vt:variant>
      <vt:variant>
        <vt:lpwstr>https://live.atlas.ey.com/</vt:lpwstr>
      </vt:variant>
      <vt:variant>
        <vt:lpwstr>document/522092?pref=20023/9/133&amp;crumb=105/1490115</vt:lpwstr>
      </vt:variant>
      <vt:variant>
        <vt:i4>1572920</vt:i4>
      </vt:variant>
      <vt:variant>
        <vt:i4>182</vt:i4>
      </vt:variant>
      <vt:variant>
        <vt:i4>0</vt:i4>
      </vt:variant>
      <vt:variant>
        <vt:i4>5</vt:i4>
      </vt:variant>
      <vt:variant>
        <vt:lpwstr/>
      </vt:variant>
      <vt:variant>
        <vt:lpwstr>_Toc211991266</vt:lpwstr>
      </vt:variant>
      <vt:variant>
        <vt:i4>1572920</vt:i4>
      </vt:variant>
      <vt:variant>
        <vt:i4>176</vt:i4>
      </vt:variant>
      <vt:variant>
        <vt:i4>0</vt:i4>
      </vt:variant>
      <vt:variant>
        <vt:i4>5</vt:i4>
      </vt:variant>
      <vt:variant>
        <vt:lpwstr/>
      </vt:variant>
      <vt:variant>
        <vt:lpwstr>_Toc211991265</vt:lpwstr>
      </vt:variant>
      <vt:variant>
        <vt:i4>1572920</vt:i4>
      </vt:variant>
      <vt:variant>
        <vt:i4>170</vt:i4>
      </vt:variant>
      <vt:variant>
        <vt:i4>0</vt:i4>
      </vt:variant>
      <vt:variant>
        <vt:i4>5</vt:i4>
      </vt:variant>
      <vt:variant>
        <vt:lpwstr/>
      </vt:variant>
      <vt:variant>
        <vt:lpwstr>_Toc211991264</vt:lpwstr>
      </vt:variant>
      <vt:variant>
        <vt:i4>1572920</vt:i4>
      </vt:variant>
      <vt:variant>
        <vt:i4>164</vt:i4>
      </vt:variant>
      <vt:variant>
        <vt:i4>0</vt:i4>
      </vt:variant>
      <vt:variant>
        <vt:i4>5</vt:i4>
      </vt:variant>
      <vt:variant>
        <vt:lpwstr/>
      </vt:variant>
      <vt:variant>
        <vt:lpwstr>_Toc211991263</vt:lpwstr>
      </vt:variant>
      <vt:variant>
        <vt:i4>1572920</vt:i4>
      </vt:variant>
      <vt:variant>
        <vt:i4>158</vt:i4>
      </vt:variant>
      <vt:variant>
        <vt:i4>0</vt:i4>
      </vt:variant>
      <vt:variant>
        <vt:i4>5</vt:i4>
      </vt:variant>
      <vt:variant>
        <vt:lpwstr/>
      </vt:variant>
      <vt:variant>
        <vt:lpwstr>_Toc211991262</vt:lpwstr>
      </vt:variant>
      <vt:variant>
        <vt:i4>1572920</vt:i4>
      </vt:variant>
      <vt:variant>
        <vt:i4>152</vt:i4>
      </vt:variant>
      <vt:variant>
        <vt:i4>0</vt:i4>
      </vt:variant>
      <vt:variant>
        <vt:i4>5</vt:i4>
      </vt:variant>
      <vt:variant>
        <vt:lpwstr/>
      </vt:variant>
      <vt:variant>
        <vt:lpwstr>_Toc211991261</vt:lpwstr>
      </vt:variant>
      <vt:variant>
        <vt:i4>1572920</vt:i4>
      </vt:variant>
      <vt:variant>
        <vt:i4>146</vt:i4>
      </vt:variant>
      <vt:variant>
        <vt:i4>0</vt:i4>
      </vt:variant>
      <vt:variant>
        <vt:i4>5</vt:i4>
      </vt:variant>
      <vt:variant>
        <vt:lpwstr/>
      </vt:variant>
      <vt:variant>
        <vt:lpwstr>_Toc211991260</vt:lpwstr>
      </vt:variant>
      <vt:variant>
        <vt:i4>1769528</vt:i4>
      </vt:variant>
      <vt:variant>
        <vt:i4>140</vt:i4>
      </vt:variant>
      <vt:variant>
        <vt:i4>0</vt:i4>
      </vt:variant>
      <vt:variant>
        <vt:i4>5</vt:i4>
      </vt:variant>
      <vt:variant>
        <vt:lpwstr/>
      </vt:variant>
      <vt:variant>
        <vt:lpwstr>_Toc211991259</vt:lpwstr>
      </vt:variant>
      <vt:variant>
        <vt:i4>1769528</vt:i4>
      </vt:variant>
      <vt:variant>
        <vt:i4>134</vt:i4>
      </vt:variant>
      <vt:variant>
        <vt:i4>0</vt:i4>
      </vt:variant>
      <vt:variant>
        <vt:i4>5</vt:i4>
      </vt:variant>
      <vt:variant>
        <vt:lpwstr/>
      </vt:variant>
      <vt:variant>
        <vt:lpwstr>_Toc211991258</vt:lpwstr>
      </vt:variant>
      <vt:variant>
        <vt:i4>1769528</vt:i4>
      </vt:variant>
      <vt:variant>
        <vt:i4>128</vt:i4>
      </vt:variant>
      <vt:variant>
        <vt:i4>0</vt:i4>
      </vt:variant>
      <vt:variant>
        <vt:i4>5</vt:i4>
      </vt:variant>
      <vt:variant>
        <vt:lpwstr/>
      </vt:variant>
      <vt:variant>
        <vt:lpwstr>_Toc211991257</vt:lpwstr>
      </vt:variant>
      <vt:variant>
        <vt:i4>1769528</vt:i4>
      </vt:variant>
      <vt:variant>
        <vt:i4>122</vt:i4>
      </vt:variant>
      <vt:variant>
        <vt:i4>0</vt:i4>
      </vt:variant>
      <vt:variant>
        <vt:i4>5</vt:i4>
      </vt:variant>
      <vt:variant>
        <vt:lpwstr/>
      </vt:variant>
      <vt:variant>
        <vt:lpwstr>_Toc211991256</vt:lpwstr>
      </vt:variant>
      <vt:variant>
        <vt:i4>1769528</vt:i4>
      </vt:variant>
      <vt:variant>
        <vt:i4>116</vt:i4>
      </vt:variant>
      <vt:variant>
        <vt:i4>0</vt:i4>
      </vt:variant>
      <vt:variant>
        <vt:i4>5</vt:i4>
      </vt:variant>
      <vt:variant>
        <vt:lpwstr/>
      </vt:variant>
      <vt:variant>
        <vt:lpwstr>_Toc211991255</vt:lpwstr>
      </vt:variant>
      <vt:variant>
        <vt:i4>1769528</vt:i4>
      </vt:variant>
      <vt:variant>
        <vt:i4>110</vt:i4>
      </vt:variant>
      <vt:variant>
        <vt:i4>0</vt:i4>
      </vt:variant>
      <vt:variant>
        <vt:i4>5</vt:i4>
      </vt:variant>
      <vt:variant>
        <vt:lpwstr/>
      </vt:variant>
      <vt:variant>
        <vt:lpwstr>_Toc211991254</vt:lpwstr>
      </vt:variant>
      <vt:variant>
        <vt:i4>1769528</vt:i4>
      </vt:variant>
      <vt:variant>
        <vt:i4>104</vt:i4>
      </vt:variant>
      <vt:variant>
        <vt:i4>0</vt:i4>
      </vt:variant>
      <vt:variant>
        <vt:i4>5</vt:i4>
      </vt:variant>
      <vt:variant>
        <vt:lpwstr/>
      </vt:variant>
      <vt:variant>
        <vt:lpwstr>_Toc211991253</vt:lpwstr>
      </vt:variant>
      <vt:variant>
        <vt:i4>1769528</vt:i4>
      </vt:variant>
      <vt:variant>
        <vt:i4>98</vt:i4>
      </vt:variant>
      <vt:variant>
        <vt:i4>0</vt:i4>
      </vt:variant>
      <vt:variant>
        <vt:i4>5</vt:i4>
      </vt:variant>
      <vt:variant>
        <vt:lpwstr/>
      </vt:variant>
      <vt:variant>
        <vt:lpwstr>_Toc211991252</vt:lpwstr>
      </vt:variant>
      <vt:variant>
        <vt:i4>1769528</vt:i4>
      </vt:variant>
      <vt:variant>
        <vt:i4>92</vt:i4>
      </vt:variant>
      <vt:variant>
        <vt:i4>0</vt:i4>
      </vt:variant>
      <vt:variant>
        <vt:i4>5</vt:i4>
      </vt:variant>
      <vt:variant>
        <vt:lpwstr/>
      </vt:variant>
      <vt:variant>
        <vt:lpwstr>_Toc211991251</vt:lpwstr>
      </vt:variant>
      <vt:variant>
        <vt:i4>1769528</vt:i4>
      </vt:variant>
      <vt:variant>
        <vt:i4>86</vt:i4>
      </vt:variant>
      <vt:variant>
        <vt:i4>0</vt:i4>
      </vt:variant>
      <vt:variant>
        <vt:i4>5</vt:i4>
      </vt:variant>
      <vt:variant>
        <vt:lpwstr/>
      </vt:variant>
      <vt:variant>
        <vt:lpwstr>_Toc211991250</vt:lpwstr>
      </vt:variant>
      <vt:variant>
        <vt:i4>1703992</vt:i4>
      </vt:variant>
      <vt:variant>
        <vt:i4>80</vt:i4>
      </vt:variant>
      <vt:variant>
        <vt:i4>0</vt:i4>
      </vt:variant>
      <vt:variant>
        <vt:i4>5</vt:i4>
      </vt:variant>
      <vt:variant>
        <vt:lpwstr/>
      </vt:variant>
      <vt:variant>
        <vt:lpwstr>_Toc211991249</vt:lpwstr>
      </vt:variant>
      <vt:variant>
        <vt:i4>1703992</vt:i4>
      </vt:variant>
      <vt:variant>
        <vt:i4>74</vt:i4>
      </vt:variant>
      <vt:variant>
        <vt:i4>0</vt:i4>
      </vt:variant>
      <vt:variant>
        <vt:i4>5</vt:i4>
      </vt:variant>
      <vt:variant>
        <vt:lpwstr/>
      </vt:variant>
      <vt:variant>
        <vt:lpwstr>_Toc211991248</vt:lpwstr>
      </vt:variant>
      <vt:variant>
        <vt:i4>1703992</vt:i4>
      </vt:variant>
      <vt:variant>
        <vt:i4>68</vt:i4>
      </vt:variant>
      <vt:variant>
        <vt:i4>0</vt:i4>
      </vt:variant>
      <vt:variant>
        <vt:i4>5</vt:i4>
      </vt:variant>
      <vt:variant>
        <vt:lpwstr/>
      </vt:variant>
      <vt:variant>
        <vt:lpwstr>_Toc211991247</vt:lpwstr>
      </vt:variant>
      <vt:variant>
        <vt:i4>1703992</vt:i4>
      </vt:variant>
      <vt:variant>
        <vt:i4>62</vt:i4>
      </vt:variant>
      <vt:variant>
        <vt:i4>0</vt:i4>
      </vt:variant>
      <vt:variant>
        <vt:i4>5</vt:i4>
      </vt:variant>
      <vt:variant>
        <vt:lpwstr/>
      </vt:variant>
      <vt:variant>
        <vt:lpwstr>_Toc211991246</vt:lpwstr>
      </vt:variant>
      <vt:variant>
        <vt:i4>1703992</vt:i4>
      </vt:variant>
      <vt:variant>
        <vt:i4>56</vt:i4>
      </vt:variant>
      <vt:variant>
        <vt:i4>0</vt:i4>
      </vt:variant>
      <vt:variant>
        <vt:i4>5</vt:i4>
      </vt:variant>
      <vt:variant>
        <vt:lpwstr/>
      </vt:variant>
      <vt:variant>
        <vt:lpwstr>_Toc211991245</vt:lpwstr>
      </vt:variant>
      <vt:variant>
        <vt:i4>1703992</vt:i4>
      </vt:variant>
      <vt:variant>
        <vt:i4>50</vt:i4>
      </vt:variant>
      <vt:variant>
        <vt:i4>0</vt:i4>
      </vt:variant>
      <vt:variant>
        <vt:i4>5</vt:i4>
      </vt:variant>
      <vt:variant>
        <vt:lpwstr/>
      </vt:variant>
      <vt:variant>
        <vt:lpwstr>_Toc211991244</vt:lpwstr>
      </vt:variant>
      <vt:variant>
        <vt:i4>1703992</vt:i4>
      </vt:variant>
      <vt:variant>
        <vt:i4>44</vt:i4>
      </vt:variant>
      <vt:variant>
        <vt:i4>0</vt:i4>
      </vt:variant>
      <vt:variant>
        <vt:i4>5</vt:i4>
      </vt:variant>
      <vt:variant>
        <vt:lpwstr/>
      </vt:variant>
      <vt:variant>
        <vt:lpwstr>_Toc211991243</vt:lpwstr>
      </vt:variant>
      <vt:variant>
        <vt:i4>1703992</vt:i4>
      </vt:variant>
      <vt:variant>
        <vt:i4>38</vt:i4>
      </vt:variant>
      <vt:variant>
        <vt:i4>0</vt:i4>
      </vt:variant>
      <vt:variant>
        <vt:i4>5</vt:i4>
      </vt:variant>
      <vt:variant>
        <vt:lpwstr/>
      </vt:variant>
      <vt:variant>
        <vt:lpwstr>_Toc211991242</vt:lpwstr>
      </vt:variant>
      <vt:variant>
        <vt:i4>1703992</vt:i4>
      </vt:variant>
      <vt:variant>
        <vt:i4>32</vt:i4>
      </vt:variant>
      <vt:variant>
        <vt:i4>0</vt:i4>
      </vt:variant>
      <vt:variant>
        <vt:i4>5</vt:i4>
      </vt:variant>
      <vt:variant>
        <vt:lpwstr/>
      </vt:variant>
      <vt:variant>
        <vt:lpwstr>_Toc211991241</vt:lpwstr>
      </vt:variant>
      <vt:variant>
        <vt:i4>1703992</vt:i4>
      </vt:variant>
      <vt:variant>
        <vt:i4>26</vt:i4>
      </vt:variant>
      <vt:variant>
        <vt:i4>0</vt:i4>
      </vt:variant>
      <vt:variant>
        <vt:i4>5</vt:i4>
      </vt:variant>
      <vt:variant>
        <vt:lpwstr/>
      </vt:variant>
      <vt:variant>
        <vt:lpwstr>_Toc211991240</vt:lpwstr>
      </vt:variant>
      <vt:variant>
        <vt:i4>1900600</vt:i4>
      </vt:variant>
      <vt:variant>
        <vt:i4>20</vt:i4>
      </vt:variant>
      <vt:variant>
        <vt:i4>0</vt:i4>
      </vt:variant>
      <vt:variant>
        <vt:i4>5</vt:i4>
      </vt:variant>
      <vt:variant>
        <vt:lpwstr/>
      </vt:variant>
      <vt:variant>
        <vt:lpwstr>_Toc211991239</vt:lpwstr>
      </vt:variant>
      <vt:variant>
        <vt:i4>1900600</vt:i4>
      </vt:variant>
      <vt:variant>
        <vt:i4>14</vt:i4>
      </vt:variant>
      <vt:variant>
        <vt:i4>0</vt:i4>
      </vt:variant>
      <vt:variant>
        <vt:i4>5</vt:i4>
      </vt:variant>
      <vt:variant>
        <vt:lpwstr/>
      </vt:variant>
      <vt:variant>
        <vt:lpwstr>_Toc211991238</vt:lpwstr>
      </vt:variant>
      <vt:variant>
        <vt:i4>1900600</vt:i4>
      </vt:variant>
      <vt:variant>
        <vt:i4>8</vt:i4>
      </vt:variant>
      <vt:variant>
        <vt:i4>0</vt:i4>
      </vt:variant>
      <vt:variant>
        <vt:i4>5</vt:i4>
      </vt:variant>
      <vt:variant>
        <vt:lpwstr/>
      </vt:variant>
      <vt:variant>
        <vt:lpwstr>_Toc211991237</vt:lpwstr>
      </vt:variant>
      <vt:variant>
        <vt:i4>1900600</vt:i4>
      </vt:variant>
      <vt:variant>
        <vt:i4>2</vt:i4>
      </vt:variant>
      <vt:variant>
        <vt:i4>0</vt:i4>
      </vt:variant>
      <vt:variant>
        <vt:i4>5</vt:i4>
      </vt:variant>
      <vt:variant>
        <vt:lpwstr/>
      </vt:variant>
      <vt:variant>
        <vt:lpwstr>_Toc211991236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Muaaz, Ali</cp:lastModifiedBy>
  <cp:revision>4</cp:revision>
  <dcterms:created xsi:type="dcterms:W3CDTF">2025-11-24T08:17:00Z</dcterms:created>
  <dcterms:modified xsi:type="dcterms:W3CDTF">2025-11-24T08:18:00Z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0x0101004FA3BD9DA5EF2E40BD1072BAE2CC4E69</vt:lpwstr>
  </property>
  <property fmtid="{D5CDD505-2E9C-101B-9397-08002B2CF9AE}" pid="3" name="MediaServiceImageTags">
    <vt:lpwstr/>
  </property>
</Properties>
</file>